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fill="FABF8F" w:val="clear"/>
        <w:ind w:hanging="2" w:left="0"/>
        <w:jc w:val="center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  <w:u w:val="single"/>
        </w:rPr>
        <w:t>ESTUDO TÉCNICO PRELIMINAR PARA AQUISIÇÃO</w:t>
      </w:r>
    </w:p>
    <w:p>
      <w:pPr>
        <w:pStyle w:val="Normal"/>
        <w:spacing w:lineRule="auto" w:line="276"/>
        <w:ind w:hanging="2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O presente documento visa analisar a viabilidade da futura aquisição, bem como, compilar as demandas e os elementos essenciais que servirão para compor o Termo de Referência de forma a melhor atender as necessidades da Secretaria Municipal de Meio Ambiente e Recursos Hídricos deste Município.</w:t>
      </w:r>
    </w:p>
    <w:p>
      <w:pPr>
        <w:pStyle w:val="Normal"/>
        <w:shd w:fill="FABF8F" w:val="clear"/>
        <w:ind w:hanging="2" w:left="0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  <w:u w:val="single"/>
        </w:rPr>
        <w:t>I – Informações Gerais:</w:t>
      </w:r>
    </w:p>
    <w:tbl>
      <w:tblPr>
        <w:tblW w:w="9356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45"/>
        <w:gridCol w:w="6311"/>
      </w:tblGrid>
      <w:tr>
        <w:trPr>
          <w:trHeight w:val="327" w:hRule="atLeast"/>
        </w:trPr>
        <w:tc>
          <w:tcPr>
            <w:tcW w:w="3045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</w:tcPr>
          <w:p>
            <w:pPr>
              <w:pStyle w:val="Normal"/>
              <w:widowControl w:val="false"/>
              <w:tabs>
                <w:tab w:val="clear" w:pos="720"/>
                <w:tab w:val="right" w:pos="9071" w:leader="none"/>
              </w:tabs>
              <w:spacing w:lineRule="auto" w:line="240"/>
              <w:ind w:hanging="2" w:left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cs="Arial"/>
                <w:b/>
                <w:bCs/>
                <w:kern w:val="2"/>
                <w:sz w:val="24"/>
                <w:szCs w:val="24"/>
                <w:lang w:eastAsia="zh-CN" w:bidi="hi-IN"/>
              </w:rPr>
              <w:t>1. Número do Processo Administrativo:</w:t>
            </w:r>
          </w:p>
        </w:tc>
        <w:tc>
          <w:tcPr>
            <w:tcW w:w="631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</w:tcPr>
          <w:p>
            <w:pPr>
              <w:pStyle w:val="Normal"/>
              <w:widowControl w:val="false"/>
              <w:tabs>
                <w:tab w:val="clear" w:pos="720"/>
                <w:tab w:val="right" w:pos="9071" w:leader="none"/>
              </w:tabs>
              <w:spacing w:lineRule="auto" w:line="240"/>
              <w:ind w:hanging="2" w:left="0"/>
              <w:jc w:val="both"/>
              <w:textAlignment w:val="baseline"/>
              <w:rPr>
                <w:rFonts w:ascii="Times New Roman" w:hAnsi="Times New Roman" w:eastAsia="SimSun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</w:r>
          </w:p>
        </w:tc>
      </w:tr>
      <w:tr>
        <w:trPr>
          <w:trHeight w:val="327" w:hRule="atLeast"/>
        </w:trPr>
        <w:tc>
          <w:tcPr>
            <w:tcW w:w="3045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</w:tcPr>
          <w:p>
            <w:pPr>
              <w:pStyle w:val="Normal"/>
              <w:widowControl w:val="false"/>
              <w:tabs>
                <w:tab w:val="clear" w:pos="720"/>
                <w:tab w:val="right" w:pos="9071" w:leader="none"/>
              </w:tabs>
              <w:spacing w:lineRule="auto" w:line="240"/>
              <w:ind w:hanging="2" w:left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cs="Arial"/>
                <w:b/>
                <w:bCs/>
                <w:kern w:val="2"/>
                <w:sz w:val="24"/>
                <w:szCs w:val="24"/>
                <w:lang w:eastAsia="zh-CN" w:bidi="hi-IN"/>
              </w:rPr>
              <w:t>2. Setor Requisitante:</w:t>
            </w:r>
          </w:p>
        </w:tc>
        <w:tc>
          <w:tcPr>
            <w:tcW w:w="631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</w:tcPr>
          <w:p>
            <w:pPr>
              <w:pStyle w:val="Normal"/>
              <w:widowControl w:val="false"/>
              <w:tabs>
                <w:tab w:val="clear" w:pos="720"/>
                <w:tab w:val="right" w:pos="9071" w:leader="none"/>
              </w:tabs>
              <w:spacing w:lineRule="auto" w:line="240"/>
              <w:ind w:hanging="2" w:left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  <w:t>SECRETARIA MUNICIPAL DE MEIO AMBIENTE E RECURSOS HÍDRICOS</w:t>
            </w:r>
          </w:p>
        </w:tc>
      </w:tr>
      <w:tr>
        <w:trPr>
          <w:trHeight w:val="327" w:hRule="atLeast"/>
        </w:trPr>
        <w:tc>
          <w:tcPr>
            <w:tcW w:w="3045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</w:tcPr>
          <w:p>
            <w:pPr>
              <w:pStyle w:val="Normal"/>
              <w:widowControl w:val="false"/>
              <w:tabs>
                <w:tab w:val="clear" w:pos="720"/>
                <w:tab w:val="right" w:pos="9071" w:leader="none"/>
              </w:tabs>
              <w:spacing w:lineRule="auto" w:line="240"/>
              <w:ind w:hanging="2" w:left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cs="Arial"/>
                <w:b/>
                <w:bCs/>
                <w:kern w:val="2"/>
                <w:sz w:val="24"/>
                <w:szCs w:val="24"/>
                <w:lang w:eastAsia="zh-CN" w:bidi="hi-IN"/>
              </w:rPr>
              <w:t>3. Equipe de Planejamento da Contratação:</w:t>
            </w:r>
          </w:p>
        </w:tc>
        <w:tc>
          <w:tcPr>
            <w:tcW w:w="6311" w:type="dxa"/>
            <w:tcBorders>
              <w:top w:val="single" w:sz="4" w:space="0" w:color="E36C0A"/>
              <w:left w:val="single" w:sz="4" w:space="0" w:color="E36C0A"/>
              <w:bottom w:val="single" w:sz="4" w:space="0" w:color="E36C0A"/>
              <w:right w:val="single" w:sz="4" w:space="0" w:color="E36C0A"/>
            </w:tcBorders>
          </w:tcPr>
          <w:p>
            <w:pPr>
              <w:pStyle w:val="ListParagraph"/>
              <w:widowControl/>
              <w:suppressAutoHyphens w:val="true"/>
              <w:bidi w:val="0"/>
              <w:spacing w:lineRule="atLeast" w:line="1" w:before="0" w:after="0"/>
              <w:ind w:hanging="0" w:left="0" w:right="-283"/>
              <w:contextualSpacing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bCs/>
                <w:color w:themeColor="dark1" w:val="000000"/>
                <w:kern w:val="2"/>
                <w:sz w:val="24"/>
                <w:szCs w:val="24"/>
                <w:lang w:eastAsia="zh-CN" w:bidi="hi-IN"/>
              </w:rPr>
              <w:t>P</w:t>
            </w:r>
            <w:r>
              <w:rPr>
                <w:rFonts w:eastAsia="SimSun" w:cs="Arial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aulo Aparecido Valentin Arruda - </w:t>
            </w:r>
            <w:r>
              <w:rPr>
                <w:rFonts w:eastAsia="SimSun" w:cs="Arial"/>
                <w:b w:val="false"/>
                <w:bCs w:val="false"/>
                <w:kern w:val="2"/>
                <w:sz w:val="24"/>
                <w:szCs w:val="24"/>
                <w:lang w:eastAsia="zh-CN" w:bidi="hi-IN"/>
              </w:rPr>
              <w:t>Operador</w:t>
            </w:r>
          </w:p>
          <w:p>
            <w:pPr>
              <w:pStyle w:val="Normal"/>
              <w:widowControl w:val="false"/>
              <w:tabs>
                <w:tab w:val="clear" w:pos="720"/>
                <w:tab w:val="right" w:pos="9071" w:leader="none"/>
              </w:tabs>
              <w:spacing w:lineRule="auto" w:line="240"/>
              <w:ind w:hanging="2" w:left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cs="Arial"/>
                <w:b/>
                <w:bCs/>
                <w:kern w:val="2"/>
                <w:sz w:val="24"/>
                <w:szCs w:val="24"/>
                <w:lang w:eastAsia="zh-CN" w:bidi="hi-IN"/>
              </w:rPr>
              <w:t>Patrícia Pedroso de Oliveira</w:t>
            </w: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  <w:t xml:space="preserve"> – Secretária de Planejamento</w:t>
            </w:r>
          </w:p>
          <w:p>
            <w:pPr>
              <w:pStyle w:val="Normal"/>
              <w:widowControl w:val="false"/>
              <w:tabs>
                <w:tab w:val="clear" w:pos="720"/>
                <w:tab w:val="right" w:pos="9071" w:leader="none"/>
              </w:tabs>
              <w:spacing w:lineRule="auto" w:line="240"/>
              <w:ind w:hanging="2" w:left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bCs/>
                <w:color w:themeColor="dark1" w:val="000000"/>
                <w:kern w:val="2"/>
                <w:sz w:val="24"/>
                <w:szCs w:val="24"/>
                <w:lang w:eastAsia="zh-CN" w:bidi="hi-IN"/>
              </w:rPr>
              <w:t>José de Carvalho Henriques Neto</w:t>
            </w: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  <w:t xml:space="preserve"> – Secretário de Meio Ambiente e Recursos Hídricos</w:t>
            </w:r>
          </w:p>
          <w:p>
            <w:pPr>
              <w:pStyle w:val="Normal"/>
              <w:widowControl w:val="false"/>
              <w:tabs>
                <w:tab w:val="clear" w:pos="720"/>
                <w:tab w:val="right" w:pos="9071" w:leader="none"/>
              </w:tabs>
              <w:spacing w:lineRule="auto" w:line="240"/>
              <w:ind w:hanging="2" w:left="0"/>
              <w:jc w:val="both"/>
              <w:textAlignment w:val="baseline"/>
              <w:rPr>
                <w:rFonts w:ascii="Times New Roman" w:hAnsi="Times New Roman" w:eastAsia="SimSun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</w:r>
          </w:p>
        </w:tc>
      </w:tr>
    </w:tbl>
    <w:p>
      <w:pPr>
        <w:pStyle w:val="Normal"/>
        <w:shd w:fill="A8D08D" w:val="clear"/>
        <w:tabs>
          <w:tab w:val="clear" w:pos="720"/>
          <w:tab w:val="left" w:pos="284" w:leader="none"/>
        </w:tabs>
        <w:suppressAutoHyphens w:val="false"/>
        <w:spacing w:lineRule="auto" w:line="276" w:before="240" w:after="200"/>
        <w:ind w:hanging="0" w:left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II – Diagnóstico da Situação Atual: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7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>Descrição do problema a ser resolvido ou da necessidade apresentada (artigo 15, caput, §1º do Decreto nº 3.537/2023):</w:t>
      </w:r>
    </w:p>
    <w:p>
      <w:pPr>
        <w:pStyle w:val="ListParagraph"/>
        <w:numPr>
          <w:ilvl w:val="1"/>
          <w:numId w:val="2"/>
        </w:numPr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O líquido percolado é um subproduto da decomposição dos resíduos sólidos no aterro. Sua drenagem adequada é fundamental para evitar a contaminação do solo, das águas subterrâneas e superficiais, protegendo o meio ambiente e a saúde pública. </w:t>
      </w:r>
    </w:p>
    <w:p>
      <w:pPr>
        <w:pStyle w:val="ListParagraph"/>
        <w:numPr>
          <w:ilvl w:val="1"/>
          <w:numId w:val="2"/>
        </w:numPr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Nota-se que, a drenagem eficiente do líquido percolado é uma exigência das autoridades ambientais, conforme a legislação vigente. A aquisição dos canos permitirá que o aterro esteja em conformidade com as normas de gestão de resíduos e proteção ambiental. </w:t>
      </w:r>
    </w:p>
    <w:p>
      <w:pPr>
        <w:pStyle w:val="ListParagraph"/>
        <w:numPr>
          <w:ilvl w:val="1"/>
          <w:numId w:val="2"/>
        </w:numPr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Observado isso, justificamos a urgência na aquisição dos canos de drenagem se deve à necessidade imediata de adequação do sistema de drenagem do aterro sanitário, o que, além de ser uma exigência legal, assegura a continuidade segura das operações do local. 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>Alinhamento entre a contratação e o planejamento da Administração (artigo 15, §1º, II, do Decreto nº 3.537/2023):</w:t>
      </w:r>
    </w:p>
    <w:p>
      <w:pPr>
        <w:pStyle w:val="Normal"/>
        <w:ind w:hanging="0" w:left="-2"/>
        <w:rPr>
          <w:rFonts w:ascii="Times New Roman" w:hAnsi="Times New Roman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tbl>
      <w:tblPr>
        <w:tblW w:w="9348" w:type="dxa"/>
        <w:jc w:val="left"/>
        <w:tblInd w:w="-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5"/>
        <w:gridCol w:w="4443"/>
      </w:tblGrid>
      <w:tr>
        <w:trPr/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hanging="2"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pt-BR" w:eastAsia="pt-BR" w:bidi="ar-SA"/>
              </w:rPr>
              <w:t>( x ) Sim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pt-BR" w:eastAsia="pt-BR" w:bidi="ar-SA"/>
              </w:rPr>
              <w:t xml:space="preserve"> – Especificar Ano: 2024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hanging="2"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pt-BR" w:eastAsia="pt-BR" w:bidi="ar-SA"/>
              </w:rPr>
              <w:t>(   ) Não</w:t>
            </w:r>
          </w:p>
        </w:tc>
      </w:tr>
      <w:tr>
        <w:trPr/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hanging="2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pt-BR" w:eastAsia="pt-BR" w:bidi="ar-SA"/>
              </w:rPr>
              <w:t>SECRETARIA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hanging="2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kern w:val="0"/>
                <w:sz w:val="24"/>
                <w:szCs w:val="24"/>
                <w:lang w:val="pt-BR" w:eastAsia="pt-BR" w:bidi="ar-SA"/>
              </w:rPr>
              <w:t>ITEM:</w:t>
            </w:r>
          </w:p>
        </w:tc>
      </w:tr>
      <w:tr>
        <w:trPr>
          <w:trHeight w:val="414" w:hRule="atLeast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hanging="2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Arial"/>
                <w:kern w:val="0"/>
                <w:sz w:val="24"/>
                <w:szCs w:val="24"/>
                <w:lang w:val="pt-BR" w:eastAsia="pt-BR" w:bidi="ar-SA"/>
              </w:rPr>
              <w:t>MEIO AMBIENTE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tLeast" w:line="1" w:before="0" w:after="0"/>
              <w:ind w:hanging="0" w:left="-170" w:right="-227"/>
              <w:jc w:val="center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/>
                <w:color w:themeColor="dark1" w:val="000000"/>
                <w:sz w:val="24"/>
                <w:szCs w:val="24"/>
              </w:rPr>
              <w:t>SMH0123</w:t>
            </w:r>
          </w:p>
        </w:tc>
      </w:tr>
      <w:tr>
        <w:trPr/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hanging="2"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pt-BR" w:eastAsia="pt-BR" w:bidi="ar-SA"/>
              </w:rPr>
              <w:t>Créditos orçamentários:  163 - 04.001.18.542.1800.2034.3.3.90.30.00 MANUTENÇÃO DA SECRETARIA DO MEIO AMBIENTE 00000/00000.01.07. 00.00.1.500.0000</w:t>
            </w:r>
          </w:p>
          <w:p>
            <w:pPr>
              <w:pStyle w:val="Normal"/>
              <w:widowControl/>
              <w:spacing w:before="0" w:after="0"/>
              <w:ind w:hanging="2"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before="0" w:after="0"/>
              <w:ind w:hanging="2"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pt-BR" w:eastAsia="pt-BR" w:bidi="ar-SA"/>
              </w:rPr>
              <w:t>Em conformidade com as normas constantes dos arts. 16 e 17 da Lei Complementar n° 101, de 04 de maio de 2000 - Lei de Responsabilidade Fiscal, apresente contratação enquadra-se em:</w:t>
            </w:r>
          </w:p>
          <w:tbl>
            <w:tblPr>
              <w:tblW w:w="915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819"/>
              <w:gridCol w:w="2014"/>
              <w:gridCol w:w="3326"/>
            </w:tblGrid>
            <w:tr>
              <w:trPr>
                <w:trHeight w:val="278" w:hRule="atLeast"/>
              </w:trPr>
              <w:tc>
                <w:tcPr>
                  <w:tcW w:w="3819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ind w:hanging="2" w:left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 w:val="24"/>
                      <w:szCs w:val="24"/>
                      <w:lang w:val="pt-BR" w:eastAsia="pt-BR" w:bidi="ar-SA"/>
                    </w:rPr>
                    <w:t>Criação ação de governo</w:t>
                  </w:r>
                </w:p>
              </w:tc>
              <w:tc>
                <w:tcPr>
                  <w:tcW w:w="201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ind w:hanging="2" w:left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 w:val="24"/>
                      <w:szCs w:val="24"/>
                      <w:lang w:val="pt-BR" w:eastAsia="pt-BR" w:bidi="ar-SA"/>
                    </w:rPr>
                    <w:t>(   ) Sim</w:t>
                  </w:r>
                </w:p>
              </w:tc>
              <w:tc>
                <w:tcPr>
                  <w:tcW w:w="332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ind w:hanging="2" w:left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color w:themeColor="dark1" w:val="000000"/>
                      <w:kern w:val="0"/>
                      <w:sz w:val="24"/>
                      <w:szCs w:val="24"/>
                      <w:lang w:val="pt-BR" w:eastAsia="pt-BR" w:bidi="ar-SA"/>
                    </w:rPr>
                    <w:t>( x) Não</w:t>
                  </w:r>
                </w:p>
              </w:tc>
            </w:tr>
            <w:tr>
              <w:trPr>
                <w:trHeight w:val="281" w:hRule="atLeast"/>
              </w:trPr>
              <w:tc>
                <w:tcPr>
                  <w:tcW w:w="3819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ind w:hanging="2" w:left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 w:val="24"/>
                      <w:szCs w:val="24"/>
                      <w:lang w:val="pt-BR" w:eastAsia="pt-BR" w:bidi="ar-SA"/>
                    </w:rPr>
                    <w:t>Expansão ação de governo</w:t>
                  </w:r>
                </w:p>
              </w:tc>
              <w:tc>
                <w:tcPr>
                  <w:tcW w:w="201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ind w:hanging="2" w:left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 w:val="24"/>
                      <w:szCs w:val="24"/>
                      <w:lang w:val="pt-BR" w:eastAsia="pt-BR" w:bidi="ar-SA"/>
                    </w:rPr>
                    <w:t>(   ) Sim</w:t>
                  </w:r>
                </w:p>
              </w:tc>
              <w:tc>
                <w:tcPr>
                  <w:tcW w:w="332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ind w:hanging="2" w:left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color w:themeColor="dark1" w:val="000000"/>
                      <w:kern w:val="0"/>
                      <w:sz w:val="24"/>
                      <w:szCs w:val="24"/>
                      <w:lang w:val="pt-BR" w:eastAsia="pt-BR" w:bidi="ar-SA"/>
                    </w:rPr>
                    <w:t>( x) Não</w:t>
                  </w:r>
                </w:p>
              </w:tc>
            </w:tr>
            <w:tr>
              <w:trPr>
                <w:trHeight w:val="286" w:hRule="atLeast"/>
              </w:trPr>
              <w:tc>
                <w:tcPr>
                  <w:tcW w:w="3819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ind w:hanging="2" w:left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 w:val="24"/>
                      <w:szCs w:val="24"/>
                      <w:lang w:val="pt-BR" w:eastAsia="pt-BR" w:bidi="ar-SA"/>
                    </w:rPr>
                    <w:t>Aperfeiçoamento ação de governo</w:t>
                  </w:r>
                </w:p>
              </w:tc>
              <w:tc>
                <w:tcPr>
                  <w:tcW w:w="2014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ind w:hanging="2" w:left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kern w:val="0"/>
                      <w:sz w:val="24"/>
                      <w:szCs w:val="24"/>
                      <w:lang w:val="pt-BR" w:eastAsia="pt-BR" w:bidi="ar-SA"/>
                    </w:rPr>
                    <w:t>(   ) Sim</w:t>
                  </w:r>
                </w:p>
              </w:tc>
              <w:tc>
                <w:tcPr>
                  <w:tcW w:w="3326" w:type="dxa"/>
                  <w:tcBorders/>
                </w:tcPr>
                <w:p>
                  <w:pPr>
                    <w:pStyle w:val="Normal"/>
                    <w:widowControl/>
                    <w:spacing w:lineRule="auto" w:line="240" w:before="0" w:after="0"/>
                    <w:ind w:hanging="2" w:left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color w:themeColor="dark1" w:val="000000"/>
                      <w:kern w:val="0"/>
                      <w:sz w:val="24"/>
                      <w:szCs w:val="24"/>
                      <w:lang w:val="pt-BR" w:eastAsia="pt-BR" w:bidi="ar-SA"/>
                    </w:rPr>
                    <w:t>( x) Não</w:t>
                  </w:r>
                </w:p>
              </w:tc>
            </w:tr>
          </w:tbl>
          <w:p>
            <w:pPr>
              <w:pStyle w:val="Normal"/>
              <w:widowControl/>
              <w:spacing w:before="0" w:after="0"/>
              <w:ind w:hanging="2"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ind w:hanging="0" w:left="-2"/>
        <w:rPr>
          <w:rFonts w:ascii="Times New Roman" w:hAnsi="Times New Roman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</w:r>
    </w:p>
    <w:p>
      <w:pPr>
        <w:pStyle w:val="ListParagraph"/>
        <w:numPr>
          <w:ilvl w:val="0"/>
          <w:numId w:val="2"/>
        </w:numPr>
        <w:ind w:hanging="426" w:left="426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>Descrição dos requisitos da potencial contratação (artigo 15, §1º, III, do Decreto nº 3.537/2023):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3.1.  DO OBJETO: </w:t>
      </w:r>
      <w:r>
        <w:rPr>
          <w:rFonts w:cs="Arial"/>
          <w:b w:val="false"/>
          <w:bCs w:val="false"/>
          <w:sz w:val="24"/>
          <w:szCs w:val="24"/>
        </w:rPr>
        <w:t xml:space="preserve">CONTRATAÇÃO DE PESSOA JURÍDICA PARA A </w:t>
      </w:r>
      <w:r>
        <w:rPr>
          <w:rFonts w:eastAsia="Merriweather" w:cs="Arial"/>
          <w:b w:val="false"/>
          <w:bCs w:val="false"/>
          <w:color w:themeColor="dark1" w:val="000000"/>
          <w:sz w:val="24"/>
          <w:szCs w:val="24"/>
        </w:rPr>
        <w:t>AQUISIÇÃO DE TUBULAÇÃO PARA DRENAGEM DE LÍQUIDO PERCOLADO DO ATERRO SANITÁRIO DE BANDEIRANTES-PR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3.2. NATUREZA DO SERVIÇO:  </w:t>
      </w:r>
      <w:r>
        <w:rPr>
          <w:rFonts w:cs="Arial"/>
          <w:sz w:val="24"/>
          <w:szCs w:val="24"/>
        </w:rPr>
        <w:t>Material de consumo.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3.3. LEGISLAÇÃO APLICAVEL CONTRATAÇÃO: </w:t>
      </w:r>
      <w:r>
        <w:rPr>
          <w:rFonts w:cs="Arial"/>
          <w:sz w:val="24"/>
          <w:szCs w:val="24"/>
        </w:rPr>
        <w:t>A contratação para a aquisição deverá obedecer, no que couber:</w:t>
      </w:r>
    </w:p>
    <w:p>
      <w:pPr>
        <w:pStyle w:val="Normal"/>
        <w:spacing w:lineRule="auto" w:line="240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3.3.1. Lei 14.133/21, de 01 de abril de 2021 e suas alterações.</w:t>
      </w:r>
    </w:p>
    <w:p>
      <w:pPr>
        <w:pStyle w:val="Normal"/>
        <w:spacing w:lineRule="auto" w:line="240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3.3.2. Decreto Municipal nº 3.537/2023.</w:t>
      </w:r>
    </w:p>
    <w:p>
      <w:pPr>
        <w:pStyle w:val="Normal"/>
        <w:spacing w:lineRule="auto" w:line="240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3.3.3</w:t>
      </w:r>
      <w:r>
        <w:rPr>
          <w:rFonts w:cs="Arial"/>
          <w:bCs/>
          <w:sz w:val="24"/>
          <w:szCs w:val="24"/>
        </w:rPr>
        <w:t>. Decreto Municipal nº 3.621/2023.</w:t>
      </w:r>
    </w:p>
    <w:p>
      <w:pPr>
        <w:pStyle w:val="Normal"/>
        <w:spacing w:lineRule="auto" w:line="240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3.3.4. Lei nº 8.078, de 1990 - Código de Defesa do Consumidor.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3.3.4. Lei Complementar nº 123/2006, com alterações da Lei Complementar nº 147/2014.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>3.4. PADRÕES MÍNIMOS DE QUALIDADE E DESEMPENHO:</w:t>
      </w:r>
      <w:r>
        <w:rPr>
          <w:rFonts w:cs="Arial"/>
          <w:sz w:val="24"/>
          <w:szCs w:val="24"/>
        </w:rPr>
        <w:t xml:space="preserve"> Características mínimas do Cano de Drenagem: </w:t>
      </w:r>
      <w:r>
        <w:rPr>
          <w:rFonts w:cs="Arial"/>
          <w:b w:val="false"/>
          <w:i w:val="false"/>
          <w:strike w:val="false"/>
          <w:dstrike w:val="false"/>
          <w:outline w:val="false"/>
          <w:shadow w:val="false"/>
          <w:color w:val="111111"/>
          <w:kern w:val="0"/>
          <w:sz w:val="24"/>
          <w:szCs w:val="24"/>
          <w:u w:val="none"/>
          <w:shd w:fill="FFFFFF" w:val="clear"/>
          <w:em w:val="none"/>
        </w:rPr>
        <w:t>Tubo/cano de PVC de 200mm, com barras de 6 metros.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3.5. DA SUBCONTRATAÇÃO: </w:t>
      </w:r>
      <w:r>
        <w:rPr>
          <w:rFonts w:cs="Arial"/>
          <w:sz w:val="24"/>
          <w:szCs w:val="24"/>
        </w:rPr>
        <w:t>Não será permitida a subcontratação integral e nem parcial do objeto.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3.6. DA PARTICIPAÇÃO DE MEI'S, ME'S OU EPP'S: </w:t>
      </w:r>
      <w:r>
        <w:rPr>
          <w:rFonts w:cs="Arial"/>
          <w:sz w:val="24"/>
          <w:szCs w:val="24"/>
        </w:rPr>
        <w:t xml:space="preserve">Nos limites previstos da Lei Complementar nº 123/2006, com alterações da Lei Complementar nº 147/2014, poderão participar MEI'S, ME's ou EPP's, concorrendo </w:t>
      </w:r>
      <w:r>
        <w:rPr>
          <w:rFonts w:cs="Arial"/>
          <w:b/>
          <w:sz w:val="24"/>
          <w:szCs w:val="24"/>
          <w:u w:val="single"/>
        </w:rPr>
        <w:t xml:space="preserve">com os benefícios legais desde </w:t>
      </w:r>
      <w:r>
        <w:rPr>
          <w:rFonts w:cs="Arial"/>
          <w:sz w:val="24"/>
          <w:szCs w:val="24"/>
        </w:rPr>
        <w:t>que o ramo de atividade seja compatível com o objeto, aplicando-se ainda os dispositivos legais previstos na sessão I do capítulo V (acesso aos mercados) da Lei Complementar 123/2006 e alterações da Lei Complementar 147/2014.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3.7. DA PARTICIPAÇÃO COOPERATIVAS: </w:t>
      </w:r>
      <w:r>
        <w:rPr>
          <w:rFonts w:cs="Arial"/>
          <w:sz w:val="24"/>
          <w:szCs w:val="24"/>
        </w:rPr>
        <w:t>Não se aplicará a presente a possibilidade de</w:t>
      </w:r>
      <w:r>
        <w:rPr>
          <w:rFonts w:cs="Arial"/>
          <w:b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participação de cooperativas considerando que a natureza do objeto a ser adquirido não se enquadrar no conceito do Art. 2º da Lei nº 12.690, de 19 de julho de 2012.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3.8. DA PARTICIPAÇÃO DE CONSÓRCIOS: </w:t>
      </w:r>
      <w:r>
        <w:rPr>
          <w:rFonts w:cs="Arial"/>
          <w:sz w:val="24"/>
          <w:szCs w:val="24"/>
        </w:rPr>
        <w:t>Não será permitido o consorciamento de empresas; justificando-se uma vez que o objeto em si mesmo é comercializado por várias empresas do ramo, sendo desnecessária a formação de consórcio para o cumprimento das obrigações de fornecimento;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3.9. DOS CRITÉRIOS DE SUSTENTABILIDADE: </w:t>
      </w:r>
      <w:r>
        <w:rPr>
          <w:rFonts w:cs="Arial"/>
          <w:sz w:val="24"/>
          <w:szCs w:val="24"/>
        </w:rPr>
        <w:t>Incluir previsão no Termo de Referência de cláusulas que obriguem a contratada a utilizar de práticas sustentáveis, tais como: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Dar preferência a envio de documentos na forma digital, a fim de reduzir a impressão de documentos.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Em caso de necessidade de envio de documentos à CONTRATANTE, usar preferencialmente a função “duplex” (frente e verso), bem como de papel confeccionado com madeira de origem legal.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Dar destinação sustentável a todos os resíduos produzidos, privilegiando o reúso e a reciclagem dos materiais utilizados.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Fornecer aos empregados os equipamentos de segurança necessários para a execução dos serviços, bem como quando de demonstração do modo de utilização para a CONTRATANTE;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Capacitar os funcionários e conscientizá-los sobre a importância da gestão sustentável de resíduos.</w:t>
      </w:r>
    </w:p>
    <w:p>
      <w:pPr>
        <w:pStyle w:val="ListParagraph"/>
        <w:ind w:hanging="0" w:left="720"/>
        <w:jc w:val="both"/>
        <w:rPr/>
      </w:pPr>
      <w:r>
        <w:rPr/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Atender as normativas fixadas em Decreto Municipal nº 3.537/2023 de 09 de maio de 2023 referente aos critérios de sustentabilidade, em especial o disposto nos Art. 361, Art. 363 e 364.</w:t>
      </w:r>
    </w:p>
    <w:p>
      <w:pPr>
        <w:pStyle w:val="ListParagraph"/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>3.10. ACOMPANHAMENTO E FISCALIZAÇÃO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color w:themeColor="dark1" w:val="000000"/>
          <w:sz w:val="24"/>
          <w:szCs w:val="24"/>
        </w:rPr>
        <w:t xml:space="preserve">3.10.1. A execução do contrato deverá ser acompanhada e fiscalizada pelo fiscal do contrato, sendo ele: </w:t>
      </w:r>
      <w:r>
        <w:rPr>
          <w:rFonts w:eastAsia="Merriweather" w:cs="Arial"/>
          <w:b/>
          <w:bCs/>
          <w:color w:themeColor="dark1" w:val="000000"/>
          <w:sz w:val="24"/>
          <w:szCs w:val="24"/>
        </w:rPr>
        <w:t>P</w:t>
      </w:r>
      <w:r>
        <w:rPr>
          <w:rFonts w:cs="Arial"/>
          <w:b/>
          <w:bCs/>
          <w:color w:themeColor="dark1" w:val="000000"/>
          <w:sz w:val="24"/>
          <w:szCs w:val="24"/>
        </w:rPr>
        <w:t>aulo Aparecido Valentin Arruda</w:t>
      </w:r>
      <w:r>
        <w:rPr>
          <w:rFonts w:eastAsia="SimSun" w:cs="Arial"/>
          <w:kern w:val="2"/>
          <w:sz w:val="24"/>
          <w:szCs w:val="24"/>
          <w:lang w:eastAsia="zh-CN" w:bidi="hi-IN"/>
        </w:rPr>
        <w:t xml:space="preserve"> – Matrícula Nº </w:t>
      </w:r>
      <w:r>
        <w:rPr>
          <w:rFonts w:eastAsia="SimSun" w:cs="Arial"/>
          <w:kern w:val="2"/>
          <w:position w:val="-1"/>
          <w:sz w:val="24"/>
          <w:szCs w:val="24"/>
          <w:lang w:eastAsia="zh-CN" w:bidi="hi-IN"/>
        </w:rPr>
        <w:t>3511.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color w:themeColor="dark1" w:val="000000"/>
          <w:sz w:val="24"/>
          <w:szCs w:val="24"/>
        </w:rPr>
        <w:t xml:space="preserve">3.10.2. A gestão do contrato deverá ser realizada pela </w:t>
      </w:r>
      <w:r>
        <w:rPr>
          <w:rFonts w:cs="Arial"/>
          <w:b/>
          <w:bCs/>
          <w:color w:themeColor="dark1" w:val="000000"/>
          <w:sz w:val="24"/>
          <w:szCs w:val="24"/>
        </w:rPr>
        <w:t xml:space="preserve">Sr. </w:t>
      </w:r>
      <w:r>
        <w:rPr>
          <w:rFonts w:eastAsia="Merriweather" w:cs="Arial"/>
          <w:b/>
          <w:bCs/>
          <w:color w:themeColor="dark1" w:val="000000"/>
          <w:sz w:val="24"/>
          <w:szCs w:val="24"/>
        </w:rPr>
        <w:t>José de Carvalho Henriques Neto</w:t>
      </w:r>
      <w:r>
        <w:rPr>
          <w:rFonts w:cs="Arial"/>
          <w:color w:themeColor="dark1" w:val="000000"/>
          <w:sz w:val="24"/>
          <w:szCs w:val="24"/>
        </w:rPr>
        <w:t xml:space="preserve"> – Matrícula Nº 5029.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3.10.3. O contrato deverá ser executado fielmente pelas partes, de acordo com as cláusulas avençadas e as normas da Lei nº 14.133, de 2021 e cada parte responderá pelas consequências de sua inexecução total ou parcial.                                                                                                        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3.10.4. Deve ser atentado para o disposto do Decreto Municipal nº 3.537/2023, quanto as atribuições do gestor e fiscal do contrato.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3.10.5. As comunicações entre o órgão ou entidade e o contratado devem ser realizadas por escrito sempre que o ato exigir tal formalidade, admitindo-se o uso de mensagem eletrônica para esse fim.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3.10.6. O fiscal do contrato acompanhará a execução do contrato, para que sejam cumpridas todas as condições estabelecidas no contrato, de modo a assegurar os melhores resultados para a Administração.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3.10.7. O fiscal do contrato anotará no histórico de gerenciamento do contrato todas as ocorrências relacionadas à execução do contrato, com a descrição do que for necessário para a regularização das faltas ou dos defeitos observados.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3.10.8. Identificada qualquer inexatidão ou irregularidade, o fiscal do contrato emitirá notificações para a correção da execução do contrato, determinando prazo para a correção.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3.10.9. O fiscal do contrato informará ao gestor do contato, em tempo hábil, a situação que demandar decisão ou adoção de medidas que ultrapassem sua competência, para que adote as medidas necessárias e saneadoras, se for o caso.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3.10.10. No caso de ocorrências que possam inviabilizar a execução do contrato nas datas aprazadas, o fiscal do contrato comunicará o fato imediatamente ao gestor do contrato.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3.10.11. O fiscal do contrato comunicará ao gestor do contrato, em tempo hábil, o término do contrato sob sua responsabilidade, com vistas à tempestiva renovação ou à prorrogação contratual.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3.10.12. O fiscal do contrato verificará a manutenção das condições de habilitação do contratado, acompanhará o empenho, o pagamento, as garantias, as glosas e a formalização de apostilamento e termos aditivos, solicitando quaisquer documentos comprobatórios pertinentes, caso necessário: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3.10.13. Caso ocorram descumprimento das obrigações contratuais, o fiscal do contrato atuará tempestivamente na solução do problema, reportando ao gestor do contrato para que tome as providências cabíveis, quando ultrapassar a sua competência;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3.10.14. O gestor do contrato, coordenará a atualização do processo de acompanhamento e fiscalização do contrato contendo todos os registros formais da execução no histórico de </w:t>
      </w:r>
      <w:r>
        <w:rPr>
          <w:rFonts w:cs="Arial"/>
          <w:color w:themeColor="dark1" w:val="000000"/>
          <w:sz w:val="24"/>
          <w:szCs w:val="24"/>
        </w:rPr>
        <w:t>gerenciamento do contrato, a exemplo da ordem de serviço, do registro de ocorrências, das alterações e das prorrogações contratuais, elaborando relatório com vistas à verificação da necessidade de adequações do contrato para fins de atendimento da finalidade da administração.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3.10.15. O gestor do contrato acompanhará a manutenção das condições de habilitação do contratado, para fins de empenho de despesa e pagamento, e anotará os problemas que obstem o fluxo normal da liquidação e do pagamento da despesa no relatório de riscos eventuais.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3.10.16. O gestor do contrato tomará providências para a formalização de processo administrativo de responsabilização para fins de aplicação de sanções, a ser conduzido pela comissão de que trata o art. 158 da Lei nº 14.133, de 2021, ou pelo agente ou pelo setor com competência para tal, conforme o caso.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3.10.18. O gestor do contrato deverá elaborar relatório final com informações sobre a consecução dos objetivos que tenham justificado a contratação e eventuais condutas a serem adotadas para o aprimoramento das atividades da Administração.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3.10.19. O gestor do contrato deverá enviar a documentação pertinente ao setor de contratos para a formalização dos procedimentos de liquidação e pagamento, no valor dimensionado pela fiscalização e gestão nos termos do contrato.</w:t>
      </w:r>
    </w:p>
    <w:p>
      <w:pPr>
        <w:pStyle w:val="Normal"/>
        <w:ind w:hanging="0" w:left="-2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>3.11. DA DURAÇÃO DO CONTRATO: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3.11.1. Previsão de data em que deve ser assinado o instrumento contratual: abril/2025.</w:t>
      </w:r>
    </w:p>
    <w:p>
      <w:pPr>
        <w:pStyle w:val="Normal"/>
        <w:ind w:hanging="0" w:left="-2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3.11.2. Estimada de disponibilização do bem/serviço: abril/2025.</w:t>
      </w:r>
    </w:p>
    <w:p>
      <w:pPr>
        <w:pStyle w:val="Normal"/>
        <w:ind w:hanging="0" w:left="-2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3.11.3. Data início da execução: abril/2025.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3.11.4. Durante a vigência do contrato, a CONTRATADA fica obrigada a manter seu cadastro, endereço eletrônico, telefone e responsável pelas operações, atualizados, situação que deve ser inserida em termo de referência como obrigação da CONTRATADA.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3.11.5. GARANTIA DE EXECUÇÃO: Não haverá exigência de garantia contratual da execução.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3.11.6. DO PAGAMENTO: Considerando que não demandara a presente contratação de exigência de garantia para execução dos serviços, não será permitido pagamento antecipado, parcial ou total, relativo a parcelas contratuais vinculadas à prestação de serviços objeto da presente contratação.</w:t>
      </w:r>
    </w:p>
    <w:p>
      <w:pPr>
        <w:pStyle w:val="Normal"/>
        <w:shd w:fill="A8D08D" w:val="clear"/>
        <w:tabs>
          <w:tab w:val="clear" w:pos="720"/>
          <w:tab w:val="left" w:pos="284" w:leader="none"/>
        </w:tabs>
        <w:suppressAutoHyphens w:val="false"/>
        <w:spacing w:lineRule="auto" w:line="276" w:before="240" w:after="200"/>
        <w:ind w:hanging="0" w:left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III - Prospecção de Soluções (artigo 15, §1º, V e VI):</w:t>
      </w:r>
    </w:p>
    <w:p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Levantamento de Mercado (artigo 15, §1º V, do Decreto nº 3.537/2023):</w:t>
      </w:r>
    </w:p>
    <w:p>
      <w:pPr>
        <w:pStyle w:val="Normal"/>
        <w:ind w:firstLine="722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O levantamento de mercado consiste na análise das alternativas possíveis, e justificativa técnica e econômica da escolha do tipo de solução a contratar. </w:t>
      </w:r>
    </w:p>
    <w:p>
      <w:pPr>
        <w:pStyle w:val="Normal"/>
        <w:tabs>
          <w:tab w:val="clear" w:pos="720"/>
          <w:tab w:val="left" w:pos="567" w:leader="none"/>
        </w:tabs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ab/>
        <w:t>Foram pesquisadas soluções disponíveis no mercado para aquisição de tubos de drenagem através de Editais publicados no Portal da Transparência dos Municípios, bem como contratos publicados no PNCP – Portal Nacional de Contratações Públicas, do Governo Federal, onde se constatou a aquisição desse tipo de objeto por modalidade de Pregão Eletrônico ou Dispensa de Licitação.</w:t>
      </w:r>
    </w:p>
    <w:p>
      <w:pPr>
        <w:pStyle w:val="Normal"/>
        <w:ind w:hanging="0" w:left="-2"/>
        <w:jc w:val="both"/>
        <w:rPr>
          <w:rFonts w:ascii="Times New Roman" w:hAnsi="Times New Roman"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</w:r>
    </w:p>
    <w:p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Estimativa do valor da contratação (art. 15, §1º VI do Decreto nº 3.537/2023):</w:t>
      </w:r>
    </w:p>
    <w:p>
      <w:pPr>
        <w:pStyle w:val="ListParagraph"/>
        <w:ind w:hanging="2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color w:val="FF0000"/>
          <w:sz w:val="24"/>
          <w:szCs w:val="24"/>
        </w:rPr>
        <w:t xml:space="preserve">  </w:t>
      </w:r>
      <w:r>
        <w:rPr>
          <w:rFonts w:cs="Arial"/>
          <w:b/>
          <w:bCs/>
          <w:color w:val="FF0000"/>
          <w:sz w:val="24"/>
          <w:szCs w:val="24"/>
        </w:rPr>
        <w:tab/>
      </w:r>
      <w:r>
        <w:rPr>
          <w:rFonts w:cs="Arial"/>
          <w:bCs/>
          <w:color w:themeColor="dark1" w:val="000000"/>
          <w:sz w:val="24"/>
          <w:szCs w:val="24"/>
        </w:rPr>
        <w:t>A estimativa de valor da contratação realizada nesse ETP visa levantar o eventual gasto com a solução escolhida de modo a avaliar a viabilidade econômica da opção. Foram realizadas análises de contratações similares ao objeto feitas por outros órgãos e entidades da administração pública, a fim de identificar nestas contratações a existência de novas metodologias, tecnologias e inovações que melhor atendam às necessidades da Administração.</w:t>
      </w:r>
    </w:p>
    <w:p>
      <w:pPr>
        <w:pStyle w:val="ListParagraph"/>
        <w:ind w:hanging="2" w:left="0"/>
        <w:jc w:val="both"/>
        <w:rPr>
          <w:rFonts w:ascii="Times New Roman" w:hAnsi="Times New Roman" w:cs="Arial"/>
          <w:b/>
          <w:bCs/>
          <w:color w:val="FF0000"/>
          <w:sz w:val="24"/>
          <w:szCs w:val="24"/>
        </w:rPr>
      </w:pPr>
      <w:r>
        <w:rPr>
          <w:rFonts w:cs="Arial"/>
          <w:b/>
          <w:bCs/>
          <w:color w:val="FF0000"/>
          <w:sz w:val="24"/>
          <w:szCs w:val="24"/>
        </w:rPr>
      </w:r>
    </w:p>
    <w:tbl>
      <w:tblPr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366"/>
        <w:gridCol w:w="1281"/>
      </w:tblGrid>
      <w:tr>
        <w:trPr>
          <w:trHeight w:val="649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0" w:right="-39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kern w:val="0"/>
                <w:sz w:val="24"/>
                <w:szCs w:val="24"/>
                <w:lang w:val="pt-BR" w:eastAsia="pt-BR" w:bidi="ar-SA"/>
              </w:rPr>
              <w:t>ITEM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-1" w:righ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kern w:val="0"/>
                <w:sz w:val="24"/>
                <w:szCs w:val="24"/>
                <w:lang w:val="pt-BR" w:eastAsia="pt-BR" w:bidi="ar-SA"/>
              </w:rPr>
              <w:t>ESPECIFICAÇÃO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-207"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kern w:val="0"/>
                <w:sz w:val="24"/>
                <w:szCs w:val="24"/>
                <w:lang w:val="pt-BR" w:eastAsia="pt-BR" w:bidi="ar-SA"/>
              </w:rPr>
              <w:t>CATMAT</w:t>
            </w:r>
          </w:p>
        </w:tc>
      </w:tr>
      <w:tr>
        <w:trPr>
          <w:trHeight w:val="2687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kern w:val="0"/>
                <w:sz w:val="24"/>
                <w:szCs w:val="24"/>
                <w:lang w:val="pt-BR" w:eastAsia="pt-BR" w:bidi="ar-SA"/>
              </w:rPr>
              <w:t>01</w:t>
            </w:r>
          </w:p>
        </w:tc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ind w:hanging="0" w:left="-1"/>
              <w:jc w:val="left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themeColor="dark1" w:val="000000"/>
                <w:kern w:val="0"/>
                <w:position w:val="-2"/>
                <w:sz w:val="24"/>
                <w:szCs w:val="24"/>
                <w:u w:val="none"/>
                <w:em w:val="none"/>
              </w:rPr>
              <w:t>Tubo/cano coletor ocre r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position w:val="-2"/>
                <w:sz w:val="24"/>
                <w:szCs w:val="24"/>
                <w:u w:val="none"/>
                <w:em w:val="none"/>
              </w:rPr>
              <w:t>ígido de 200mm, com barras de 6 metros</w:t>
            </w:r>
          </w:p>
          <w:p>
            <w:pPr>
              <w:pStyle w:val="Normal"/>
              <w:bidi w:val="0"/>
              <w:jc w:val="left"/>
              <w:rPr>
                <w:rFonts w:eastAsia="Merriweather" w:cs="Arial"/>
                <w:color w:themeColor="dark1" w:val="000000"/>
                <w:kern w:val="0"/>
                <w:lang w:val="pt-BR" w:eastAsia="pt-BR" w:bidi="ar-SA"/>
              </w:rPr>
            </w:pPr>
            <w:r>
              <w:rPr>
                <w:rFonts w:eastAsia="Merriweather" w:cs="Arial"/>
                <w:color w:themeColor="dark1" w:val="000000"/>
                <w:kern w:val="0"/>
                <w:sz w:val="24"/>
                <w:lang w:val="pt-BR" w:eastAsia="pt-BR" w:bidi="ar-SA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24"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color w:themeColor="dark1" w:val="000000"/>
                <w:kern w:val="0"/>
                <w:sz w:val="24"/>
                <w:szCs w:val="24"/>
                <w:lang w:val="pt-BR" w:eastAsia="pt-BR" w:bidi="ar-SA"/>
              </w:rPr>
              <w:t>IMAGEM DE REFERÊNCIA:</w:t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24" w:left="0"/>
              <w:jc w:val="left"/>
              <w:rPr>
                <w:rFonts w:ascii="Times New Roman" w:hAnsi="Times New Roman" w:eastAsia="Merriweather" w:cs="Arial"/>
                <w:b/>
                <w:color w:themeColor="dark1" w:val="000000"/>
                <w:sz w:val="24"/>
                <w:szCs w:val="24"/>
              </w:rPr>
            </w:pPr>
            <w:r>
              <w:rPr>
                <w:rFonts w:eastAsia="Merriweather" w:cs="Arial"/>
                <w:b/>
                <w:color w:themeColor="dark1" w:val="000000"/>
                <w:sz w:val="24"/>
                <w:szCs w:val="24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24" w:left="0"/>
              <w:jc w:val="left"/>
              <w:rPr>
                <w:rFonts w:ascii="Times New Roman" w:hAnsi="Times New Roman" w:eastAsia="Merriweather" w:cs="Arial"/>
                <w:b/>
                <w:color w:themeColor="dark1" w:val="000000"/>
                <w:sz w:val="24"/>
                <w:szCs w:val="24"/>
              </w:rPr>
            </w:pPr>
            <w:r>
              <w:rPr>
                <w:rFonts w:eastAsia="Merriweather" w:cs="Arial"/>
                <w:b/>
                <w:color w:themeColor="dark1" w:val="000000"/>
                <w:sz w:val="24"/>
                <w:szCs w:val="2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266565" cy="2247265"/>
                  <wp:effectExtent l="0" t="0" r="0" b="0"/>
                  <wp:wrapSquare wrapText="largest"/>
                  <wp:docPr id="1" name="Figura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igura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6565" cy="2247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24" w:left="0"/>
              <w:jc w:val="left"/>
              <w:rPr>
                <w:rFonts w:ascii="Times New Roman" w:hAnsi="Times New Roman" w:eastAsia="Merriweather" w:cs="Arial"/>
                <w:b/>
                <w:color w:themeColor="dark1" w:val="000000"/>
                <w:sz w:val="24"/>
                <w:szCs w:val="24"/>
              </w:rPr>
            </w:pPr>
            <w:r>
              <w:rPr>
                <w:rFonts w:eastAsia="Merriweather" w:cs="Arial"/>
                <w:b/>
                <w:color w:themeColor="dark1" w:val="000000"/>
                <w:sz w:val="24"/>
                <w:szCs w:val="24"/>
              </w:rPr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i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4"/>
                <w:szCs w:val="24"/>
                <w:u w:val="none"/>
                <w:em w:val="none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  <w:em w:val="none"/>
              </w:rPr>
              <w:t>238151</w:t>
            </w:r>
          </w:p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Times New Roman" w:hAnsi="Times New Roman" w:eastAsia="Merriweather" w:cs="Arial"/>
                <w:b/>
                <w:sz w:val="24"/>
                <w:szCs w:val="24"/>
              </w:rPr>
            </w:pPr>
            <w:r>
              <w:rPr>
                <w:rFonts w:eastAsia="Merriweather" w:cs="Arial"/>
                <w:b/>
                <w:sz w:val="24"/>
                <w:szCs w:val="24"/>
              </w:rPr>
            </w:r>
          </w:p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istParagraph"/>
        <w:ind w:hanging="2" w:left="0"/>
        <w:jc w:val="both"/>
        <w:rPr>
          <w:rFonts w:ascii="Times New Roman" w:hAnsi="Times New Roman" w:cs="Arial"/>
          <w:b/>
          <w:bCs/>
          <w:color w:val="FF0000"/>
          <w:sz w:val="24"/>
          <w:szCs w:val="24"/>
        </w:rPr>
      </w:pPr>
      <w:r>
        <w:rPr>
          <w:rFonts w:cs="Arial"/>
          <w:b/>
          <w:bCs/>
          <w:color w:val="FF0000"/>
          <w:sz w:val="24"/>
          <w:szCs w:val="24"/>
        </w:rPr>
      </w:r>
    </w:p>
    <w:p>
      <w:pPr>
        <w:pStyle w:val="ListParagraph"/>
        <w:ind w:hanging="2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ab/>
        <w:tab/>
        <w:t>A pesquisa de preço foi realizada de acordo com o Art. 23 e seguintes da Lei 14.133/2021 e Art. 368 do Decreto Municipal nº 3.537/2023.</w:t>
      </w:r>
    </w:p>
    <w:p>
      <w:pPr>
        <w:pStyle w:val="ListParagraph"/>
        <w:ind w:hanging="2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ab/>
        <w:t>Para identificar o valor para o item a ser contratado foi realizado a pesquisa de preços obtidos por meio orçamentos apresentados à Administração e de contratos firmados por outros municípios que adquiriram o mesmo objeto e sítios eletrônicos de domínio amplo, que seguem anexos a este estudo e constam de mapa de preço igualmente colacionado.</w:t>
      </w:r>
    </w:p>
    <w:p>
      <w:pPr>
        <w:pStyle w:val="ListParagraph"/>
        <w:ind w:hanging="2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 </w:t>
        <w:tab/>
        <w:t>Abaixo, segue valor elaborado pelo MÉTODO ESTATÍSTICO da MÉDIA de preços dos orçamentos identificados, pois os valores coletados não possuem variações de preços e os dados estão dispostos de forma homogênea, que aponta como estimativa de preço inicial unitário para aquisição do bem:</w:t>
      </w:r>
    </w:p>
    <w:p>
      <w:pPr>
        <w:pStyle w:val="ListParagraph"/>
        <w:ind w:hanging="2" w:left="0"/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tbl>
      <w:tblPr>
        <w:tblW w:w="936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2266"/>
        <w:gridCol w:w="991"/>
        <w:gridCol w:w="1035"/>
        <w:gridCol w:w="645"/>
        <w:gridCol w:w="737"/>
        <w:gridCol w:w="1243"/>
        <w:gridCol w:w="1770"/>
      </w:tblGrid>
      <w:tr>
        <w:trPr>
          <w:trHeight w:val="64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0" w:right="-391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>ITEM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pacing w:before="0" w:after="0"/>
              <w:ind w:hanging="0" w:left="-1" w:right="-9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>ESPECIFICAÇÃO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-207" w:right="-11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>CNAE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-207" w:right="-11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>CATMAT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253" w:leader="none"/>
              </w:tabs>
              <w:spacing w:before="0" w:after="0"/>
              <w:ind w:hanging="0" w:left="-129" w:right="-25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 xml:space="preserve">  </w:t>
            </w: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>UND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-108" w:right="-386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 xml:space="preserve">   </w:t>
            </w: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>QTD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-109" w:right="-11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>VALOR</w:t>
            </w:r>
          </w:p>
          <w:p>
            <w:pPr>
              <w:pStyle w:val="Normal"/>
              <w:widowControl/>
              <w:spacing w:before="0" w:after="0"/>
              <w:ind w:hanging="0" w:left="-109" w:right="-11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>UNITÁRIO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1027" w:leader="none"/>
              </w:tabs>
              <w:spacing w:before="0" w:after="0"/>
              <w:ind w:hanging="0" w:left="-106" w:right="3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>VALOR</w:t>
            </w:r>
          </w:p>
          <w:p>
            <w:pPr>
              <w:pStyle w:val="Normal"/>
              <w:widowControl/>
              <w:tabs>
                <w:tab w:val="clear" w:pos="720"/>
                <w:tab w:val="left" w:pos="1027" w:leader="none"/>
              </w:tabs>
              <w:spacing w:before="0" w:after="0"/>
              <w:ind w:hanging="0" w:left="-106" w:right="31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Merriweather" w:cs="Arial"/>
                <w:b/>
                <w:kern w:val="0"/>
                <w:sz w:val="22"/>
                <w:szCs w:val="22"/>
                <w:lang w:val="pt-BR" w:eastAsia="pt-BR" w:bidi="ar-SA"/>
              </w:rPr>
              <w:t>TOTAL</w:t>
            </w:r>
          </w:p>
        </w:tc>
      </w:tr>
      <w:tr>
        <w:trPr>
          <w:trHeight w:val="1149" w:hRule="atLeast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kern w:val="0"/>
                <w:sz w:val="24"/>
                <w:szCs w:val="24"/>
                <w:lang w:val="pt-BR" w:eastAsia="pt-BR" w:bidi="ar-SA"/>
              </w:rPr>
              <w:t>01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themeColor="dark1" w:val="000000"/>
                <w:kern w:val="0"/>
                <w:position w:val="-2"/>
                <w:sz w:val="24"/>
                <w:szCs w:val="24"/>
                <w:u w:val="none"/>
                <w:em w:val="none"/>
              </w:rPr>
              <w:t>Tubo/cano coletor ocre r</w:t>
            </w:r>
            <w:r>
              <w:rPr>
                <w:rFonts w:eastAsia="Merriweather"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position w:val="-2"/>
                <w:sz w:val="24"/>
                <w:szCs w:val="24"/>
                <w:u w:val="none"/>
                <w:em w:val="none"/>
              </w:rPr>
              <w:t>ígido de 200mm, com barras de 6 metros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tLeast" w:line="1" w:before="0" w:after="0"/>
              <w:ind w:hanging="0" w:left="-397" w:right="-397"/>
              <w:jc w:val="center"/>
              <w:textAlignment w:val="top"/>
              <w:rPr>
                <w:sz w:val="22"/>
                <w:szCs w:val="22"/>
              </w:rPr>
            </w:pPr>
            <w:r>
              <w:rPr>
                <w:rFonts w:eastAsia="Merriweather" w:cs="Arial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2"/>
                <w:szCs w:val="22"/>
                <w:lang w:val="pt-BR" w:eastAsia="pt-BR" w:bidi="ar-SA"/>
              </w:rPr>
              <w:t>4744-0/99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0"/>
                <w:sz w:val="24"/>
                <w:szCs w:val="24"/>
                <w:u w:val="none"/>
                <w:em w:val="none"/>
              </w:rPr>
              <w:t>238151</w:t>
            </w:r>
          </w:p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Times New Roman" w:hAnsi="Times New Roman" w:eastAsia="Merriweather" w:cs="Arial"/>
                <w:b/>
                <w:sz w:val="24"/>
                <w:szCs w:val="24"/>
              </w:rPr>
            </w:pPr>
            <w:r>
              <w:rPr>
                <w:rFonts w:eastAsia="Merriweather" w:cs="Arial"/>
                <w:b/>
                <w:sz w:val="24"/>
                <w:szCs w:val="24"/>
              </w:rPr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0" w:right="-33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pacing w:before="0" w:after="0"/>
              <w:ind w:hanging="0" w:left="0" w:right="-33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color w:themeColor="dark1" w:val="000000"/>
                <w:kern w:val="0"/>
                <w:sz w:val="24"/>
                <w:szCs w:val="24"/>
                <w:lang w:val="pt-BR" w:eastAsia="pt-BR" w:bidi="ar-SA"/>
              </w:rPr>
              <w:t>UND</w:t>
            </w:r>
          </w:p>
          <w:p>
            <w:pPr>
              <w:pStyle w:val="Normal"/>
              <w:widowControl/>
              <w:spacing w:before="0" w:after="0"/>
              <w:ind w:hanging="0" w:left="0" w:right="-33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Times New Roman" w:hAnsi="Times New Roman" w:eastAsia="Merriweather" w:cs="Arial"/>
                <w:b/>
                <w:color w:themeColor="dark1" w:val="000000"/>
                <w:sz w:val="24"/>
                <w:szCs w:val="24"/>
              </w:rPr>
            </w:pPr>
            <w:r>
              <w:rPr>
                <w:rFonts w:eastAsia="Merriweather" w:cs="Arial"/>
                <w:b/>
                <w:color w:themeColor="dark1" w:val="000000"/>
                <w:sz w:val="24"/>
                <w:szCs w:val="24"/>
              </w:rPr>
            </w:r>
          </w:p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Times New Roman" w:hAnsi="Times New Roman" w:eastAsia="Merriweather" w:cs="Arial"/>
                <w:b/>
                <w:color w:themeColor="dark1" w:val="000000"/>
                <w:sz w:val="24"/>
                <w:szCs w:val="24"/>
              </w:rPr>
            </w:pPr>
            <w:r>
              <w:rPr>
                <w:rFonts w:eastAsia="Merriweather" w:cs="Arial"/>
                <w:b/>
                <w:color w:themeColor="dark1" w:val="000000"/>
                <w:sz w:val="24"/>
                <w:szCs w:val="24"/>
              </w:rPr>
            </w:r>
          </w:p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color w:themeColor="dark1" w:val="000000"/>
                <w:kern w:val="0"/>
                <w:sz w:val="24"/>
                <w:szCs w:val="24"/>
                <w:lang w:val="pt-BR" w:eastAsia="pt-BR" w:bidi="ar-SA"/>
              </w:rPr>
              <w:t xml:space="preserve">  </w:t>
            </w:r>
            <w:r>
              <w:rPr>
                <w:rFonts w:eastAsia="Merriweather" w:cs="Arial"/>
                <w:b/>
                <w:color w:themeColor="dark1" w:val="000000"/>
                <w:kern w:val="0"/>
                <w:sz w:val="24"/>
                <w:szCs w:val="24"/>
                <w:lang w:val="pt-BR" w:eastAsia="pt-BR" w:bidi="ar-SA"/>
              </w:rPr>
              <w:t>10</w:t>
            </w:r>
          </w:p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pacing w:before="0" w:after="0"/>
              <w:ind w:hanging="0" w:left="0" w:right="-42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ind w:hanging="0" w:left="-105" w:right="-1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spacing w:before="0" w:after="0"/>
              <w:ind w:hanging="0" w:left="-105" w:right="-1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color w:themeColor="dark1" w:val="000000"/>
                <w:kern w:val="0"/>
                <w:sz w:val="24"/>
                <w:szCs w:val="24"/>
                <w:lang w:val="pt-BR" w:eastAsia="pt-BR" w:bidi="ar-SA"/>
              </w:rPr>
              <w:t xml:space="preserve"> </w:t>
            </w:r>
            <w:r>
              <w:rPr>
                <w:rFonts w:eastAsia="Merriweather" w:cs="Arial"/>
                <w:b/>
                <w:color w:themeColor="dark1" w:val="000000"/>
                <w:kern w:val="0"/>
                <w:sz w:val="24"/>
                <w:szCs w:val="24"/>
                <w:lang w:val="pt-BR" w:eastAsia="pt-BR" w:bidi="ar-SA"/>
              </w:rPr>
              <w:t>R$ 528,89</w:t>
            </w:r>
          </w:p>
          <w:p>
            <w:pPr>
              <w:pStyle w:val="Normal"/>
              <w:widowControl/>
              <w:spacing w:before="0" w:after="0"/>
              <w:ind w:hanging="0" w:left="-105" w:right="-1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886" w:leader="none"/>
                <w:tab w:val="left" w:pos="1027" w:leader="none"/>
              </w:tabs>
              <w:suppressAutoHyphens w:val="true"/>
              <w:bidi w:val="0"/>
              <w:spacing w:lineRule="atLeast" w:line="1" w:before="0" w:after="0"/>
              <w:ind w:hanging="0" w:left="-510" w:right="397"/>
              <w:jc w:val="right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b/>
                <w:color w:themeColor="dark1" w:val="000000"/>
                <w:kern w:val="0"/>
                <w:sz w:val="24"/>
                <w:szCs w:val="24"/>
                <w:lang w:val="pt-BR" w:eastAsia="pt-BR" w:bidi="ar-SA"/>
              </w:rPr>
              <w:t>R$ 5.288,90</w:t>
            </w:r>
          </w:p>
        </w:tc>
      </w:tr>
    </w:tbl>
    <w:p>
      <w:pPr>
        <w:pStyle w:val="ListParagraph"/>
        <w:ind w:hanging="2" w:left="0"/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ListParagraph"/>
        <w:ind w:hanging="2" w:left="0"/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Escolha da solução (consequência dos incisos V e VI do §1º do art. 15 do Decreto nº 3.537/2023):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ab/>
      </w:r>
    </w:p>
    <w:p>
      <w:pPr>
        <w:pStyle w:val="ListParagraph"/>
        <w:ind w:hanging="2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color w:themeColor="dark1" w:val="000000"/>
          <w:sz w:val="24"/>
          <w:szCs w:val="24"/>
        </w:rPr>
        <w:t xml:space="preserve"> </w:t>
      </w:r>
      <w:r>
        <w:rPr>
          <w:rFonts w:cs="Arial"/>
          <w:color w:themeColor="dark1" w:val="000000"/>
          <w:sz w:val="24"/>
          <w:szCs w:val="24"/>
        </w:rPr>
        <w:tab/>
        <w:t>De tabela elaborada pelo MÉTODO ESTATÍSTICO de MÉDIA de preços dos orçamentos identificados acima, restou estimado que preço inicial unitário para contratação do bem é de R$ 5.288,90 (Cinco mil, duzentos e oitenta  oito reais e noventa centavos).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ab/>
        <w:t>O bem objeto desta contratação se enquadra na categoria de bens e serviços comuns, por possuírem padrões de desempenho e características gerais e específicas usualmente encontradas no mercado, de acordo com a Lei Federal 14.133/2021 e Decreto Municipal 3.537/2023.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ab/>
        <w:t>Para que se possa delinear qual a modalidade contratação que deverá se dar a escolha do fornecedor há de ser explanado a forma que melhor atende os princípios da administração, vez que a correta escolha do procedimento licitatório é fundamental para que o município possa realizar um certame juridicamente seguro, rápido e eficaz.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ab/>
        <w:t>O dever de licitar encontra-se insculpido no art. 37, XXI da Constituição Federal, configurando limitação imposta à administração pública, em todos os seus níveis, com o objetivo de garantir a proposta mais vantajosa na aquisição de bens ou contratação de serviços pelo Poder Público.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ab/>
        <w:t>Nesse sentido, os procedimentos necessários à escorreita realização dos certames licitatórios e das contratações entre a administração pública e os particulares estão previstos na Lei nº. 14.133/2021.</w:t>
      </w:r>
    </w:p>
    <w:p>
      <w:pPr>
        <w:pStyle w:val="Normal"/>
        <w:ind w:firstLine="722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A Lei nº 14.133/2021 prevê em art.75, II, que é possível dispensar a licitação para contratação que envolva valores inferiores a R$ 50.000,00 (cinquenta mil reais) no caso de serviços de outros serviços e compras.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ab/>
        <w:t>O valor acima foi atualizado para R$ 59.906,02 (cinquenta e nove mil novecentos e seis reais e dois centavos), por força do Decreto nº 11.871, de 29 de dezembro de 2023, a teor do que se extrai em https://www.planalto.gov.br/ccivil_03/_ato2023-2026/2023/decreto/d11871.htm: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  <w:shd w:fill="auto" w:val="clear"/>
        </w:rPr>
        <w:t xml:space="preserve">No caso presente o valor máximo de referência para aquisição dos bens pretendidos após orçamentos restou fixado em </w:t>
      </w:r>
      <w:r>
        <w:rPr>
          <w:rFonts w:eastAsia="Times New Roman" w:cs="Arial"/>
          <w:color w:val="000000"/>
          <w:kern w:val="0"/>
          <w:position w:val="-1"/>
          <w:sz w:val="24"/>
          <w:szCs w:val="24"/>
          <w:shd w:fill="auto" w:val="clear"/>
          <w:lang w:val="pt-BR" w:eastAsia="pt-BR" w:bidi="ar-SA"/>
        </w:rPr>
        <w:t>R$ 5.288,90 (Cinco mil, duzentos e oitenta e oito reais e noventa ce</w:t>
      </w:r>
      <w:r>
        <w:rPr>
          <w:rFonts w:cs="Arial"/>
          <w:sz w:val="24"/>
          <w:szCs w:val="24"/>
          <w:shd w:fill="auto" w:val="clear"/>
        </w:rPr>
        <w:t>ntavos)</w:t>
      </w:r>
      <w:r>
        <w:rPr>
          <w:rFonts w:cs="Arial"/>
          <w:sz w:val="24"/>
          <w:szCs w:val="24"/>
        </w:rPr>
        <w:t xml:space="preserve">, enquadrando-se no disposto no art.75, II da Lei nº. 14.133/2021 (Nova Lei de Licitações).                                                                                                                     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 </w:t>
        <w:tab/>
        <w:t xml:space="preserve">Logo a solução escolhida é a aquisição de tubo para drenagem de aterro sanitário, mediante dispensa de licitação conforme o disposto no art.75, II da Lei nº. 14.133/2021, cuja justificativa técnica para escolha do critério se dá em razão pela qual essa é a única medida econômica e operacional viável, </w:t>
      </w:r>
      <w:r>
        <w:rPr>
          <w:rFonts w:cs="Arial"/>
          <w:color w:themeColor="dark1" w:val="000000"/>
          <w:sz w:val="24"/>
          <w:szCs w:val="24"/>
        </w:rPr>
        <w:t>com celeridade processual para Administração Pública.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color w:themeColor="dark1" w:val="000000"/>
          <w:sz w:val="24"/>
          <w:szCs w:val="24"/>
        </w:rPr>
        <w:tab/>
        <w:tab/>
        <w:t>Considerando o §2º do art. 159 do Decreto Municipal Nº 3.537/2023 de 09 de maio de 2023:</w:t>
      </w:r>
    </w:p>
    <w:p>
      <w:pPr>
        <w:pStyle w:val="Normal"/>
        <w:ind w:hanging="0" w:left="85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i/>
          <w:color w:themeColor="dark1" w:val="000000"/>
          <w:sz w:val="24"/>
          <w:szCs w:val="24"/>
        </w:rPr>
        <w:t>Art. 159. Nas dispensas de licitação previstas nos incisos I e II do art. 75 da Lei Federal nº 14.133/2021, a contratação deverá ser feita preferencialmente com microempresa, empresa de pequeno porte ou microempreendedor individual.</w:t>
      </w:r>
    </w:p>
    <w:p>
      <w:pPr>
        <w:pStyle w:val="Normal"/>
        <w:ind w:hanging="0" w:left="85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i/>
          <w:color w:themeColor="dark1" w:val="000000"/>
          <w:sz w:val="24"/>
          <w:szCs w:val="24"/>
        </w:rPr>
        <w:t>§2º Considera-se ramo de atividade a participação econômica do mercado, identificada pelo nível de subclasse da Classificação Nacional de Atividades Econômicas - CNAE.</w:t>
      </w:r>
    </w:p>
    <w:p>
      <w:pPr>
        <w:pStyle w:val="Normal"/>
        <w:ind w:hanging="0" w:left="-2"/>
        <w:jc w:val="both"/>
        <w:rPr>
          <w:rFonts w:ascii="Times New Roman" w:hAnsi="Times New Roman" w:cs="Arial"/>
          <w:color w:val="FF0000"/>
          <w:sz w:val="24"/>
          <w:szCs w:val="24"/>
          <w:u w:val="single"/>
        </w:rPr>
      </w:pPr>
      <w:r>
        <w:rPr>
          <w:rFonts w:cs="Arial"/>
          <w:color w:val="FF0000"/>
          <w:sz w:val="24"/>
          <w:szCs w:val="24"/>
          <w:u w:val="single"/>
        </w:rPr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  <w:u w:val="single"/>
        </w:rPr>
        <w:t>Segue abaixo estrutura hierarquia, destacando a subclasse do CNAE da presente contratação:</w:t>
      </w:r>
    </w:p>
    <w:p>
      <w:pPr>
        <w:pStyle w:val="Normal"/>
        <w:ind w:hanging="0" w:left="-2"/>
        <w:jc w:val="both"/>
        <w:rPr>
          <w:rFonts w:ascii="Times New Roman" w:hAnsi="Times New Roman" w:cs="Arial"/>
          <w:color w:val="FF0000"/>
          <w:sz w:val="24"/>
          <w:szCs w:val="24"/>
          <w:u w:val="single"/>
        </w:rPr>
      </w:pPr>
      <w:r>
        <w:rPr>
          <w:rFonts w:cs="Arial"/>
          <w:color w:val="FF0000"/>
          <w:sz w:val="24"/>
          <w:szCs w:val="24"/>
          <w:u w:val="single"/>
        </w:rPr>
      </w:r>
    </w:p>
    <w:p>
      <w:pPr>
        <w:pStyle w:val="Heading3"/>
        <w:shd w:fill="F1F1F1" w:val="clear"/>
        <w:spacing w:before="0" w:after="0"/>
        <w:ind w:hanging="3" w:left="1"/>
        <w:rPr>
          <w:rFonts w:ascii="Times New Roman" w:hAnsi="Times New Roman"/>
          <w:color w:val="000000"/>
          <w:sz w:val="24"/>
          <w:szCs w:val="24"/>
          <w:shd w:fill="auto" w:val="clear"/>
        </w:rPr>
      </w:pPr>
      <w:r>
        <w:rPr>
          <w:rFonts w:cs="Arial" w:ascii="Times New Roman" w:hAnsi="Times New Roman"/>
          <w:color w:val="000000"/>
          <w:sz w:val="24"/>
          <w:szCs w:val="24"/>
          <w:shd w:fill="auto" w:val="clear"/>
        </w:rPr>
        <w:t>Hierarquia</w:t>
      </w:r>
    </w:p>
    <w:tbl>
      <w:tblPr>
        <w:tblW w:w="9356" w:type="dxa"/>
        <w:jc w:val="left"/>
        <w:tblInd w:w="0" w:type="dxa"/>
        <w:tblLayout w:type="fixed"/>
        <w:tblCellMar>
          <w:top w:w="105" w:type="dxa"/>
          <w:left w:w="150" w:type="dxa"/>
          <w:bottom w:w="105" w:type="dxa"/>
          <w:right w:w="150" w:type="dxa"/>
        </w:tblCellMar>
      </w:tblPr>
      <w:tblGrid>
        <w:gridCol w:w="1699"/>
        <w:gridCol w:w="853"/>
        <w:gridCol w:w="6804"/>
      </w:tblGrid>
      <w:tr>
        <w:trPr/>
        <w:tc>
          <w:tcPr>
            <w:tcW w:w="1699" w:type="dxa"/>
            <w:tcBorders/>
            <w:shd w:fill="F7F7F7" w:val="clear"/>
            <w:vAlign w:val="center"/>
          </w:tcPr>
          <w:p>
            <w:pPr>
              <w:pStyle w:val="Normal"/>
              <w:ind w:hanging="2" w:left="0"/>
              <w:rPr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Seção:</w:t>
            </w:r>
          </w:p>
        </w:tc>
        <w:tc>
          <w:tcPr>
            <w:tcW w:w="853" w:type="dxa"/>
            <w:tcBorders/>
            <w:shd w:fill="F7F7F7"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Normal"/>
              <w:ind w:hanging="2" w:left="0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single"/>
                <w:shd w:fill="auto" w:val="clear"/>
              </w:rPr>
              <w:t xml:space="preserve">  </w:t>
            </w:r>
            <w:hyperlink r:id="rId3">
              <w:r>
                <w:rPr>
                  <w:rStyle w:val="Hyperlink"/>
                  <w:b w:val="false"/>
                  <w:bCs w:val="false"/>
                  <w:i w:val="false"/>
                  <w:caps w:val="false"/>
                  <w:smallCaps w:val="false"/>
                  <w:color w:val="000000"/>
                  <w:spacing w:val="0"/>
                  <w:sz w:val="22"/>
                  <w:szCs w:val="22"/>
                  <w:u w:val="single"/>
                  <w:shd w:fill="auto" w:val="clear"/>
                </w:rPr>
                <w:t>G</w:t>
              </w:r>
            </w:hyperlink>
          </w:p>
        </w:tc>
        <w:tc>
          <w:tcPr>
            <w:tcW w:w="6804" w:type="dxa"/>
            <w:tcBorders/>
            <w:shd w:fill="F7F7F7"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Normal"/>
              <w:ind w:hanging="2" w:left="0"/>
              <w:rPr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COMÉRCIO; REPARAÇÃO DE VEÍCULOS AUTOMOTORES E MOTOCICLETAS</w:t>
            </w:r>
          </w:p>
        </w:tc>
      </w:tr>
      <w:tr>
        <w:trPr>
          <w:trHeight w:val="658" w:hRule="atLeast"/>
        </w:trPr>
        <w:tc>
          <w:tcPr>
            <w:tcW w:w="1699" w:type="dxa"/>
            <w:tcBorders/>
            <w:shd w:fill="FDFDFD" w:val="clear"/>
            <w:vAlign w:val="center"/>
          </w:tcPr>
          <w:p>
            <w:pPr>
              <w:pStyle w:val="Normal"/>
              <w:ind w:hanging="0" w:left="0"/>
              <w:rPr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Divisão:</w:t>
            </w:r>
          </w:p>
        </w:tc>
        <w:tc>
          <w:tcPr>
            <w:tcW w:w="853" w:type="dxa"/>
            <w:tcBorders/>
            <w:shd w:fill="FDFDFD"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tLeast" w:line="1" w:before="0" w:after="0"/>
              <w:ind w:hanging="0" w:left="-283" w:right="0"/>
              <w:jc w:val="center"/>
              <w:textAlignment w:val="top"/>
              <w:rPr/>
            </w:pPr>
            <w:hyperlink r:id="rId4">
              <w:r>
                <w:rPr>
                  <w:rStyle w:val="Hyperlink"/>
                  <w:b w:val="false"/>
                  <w:bCs w:val="false"/>
                  <w:i w:val="false"/>
                  <w:caps w:val="false"/>
                  <w:smallCaps w:val="false"/>
                  <w:color w:val="000000"/>
                  <w:spacing w:val="0"/>
                  <w:sz w:val="22"/>
                  <w:szCs w:val="22"/>
                  <w:u w:val="single"/>
                  <w:shd w:fill="auto" w:val="clear"/>
                </w:rPr>
                <w:t>47</w:t>
              </w:r>
            </w:hyperlink>
          </w:p>
        </w:tc>
        <w:tc>
          <w:tcPr>
            <w:tcW w:w="6804" w:type="dxa"/>
            <w:tcBorders/>
            <w:shd w:fill="FDFDFD"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Normal"/>
              <w:ind w:hanging="2" w:left="0"/>
              <w:rPr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COMÉRCIO VAREJISTA</w:t>
            </w:r>
          </w:p>
        </w:tc>
      </w:tr>
      <w:tr>
        <w:trPr/>
        <w:tc>
          <w:tcPr>
            <w:tcW w:w="1699" w:type="dxa"/>
            <w:tcBorders/>
            <w:shd w:fill="F7F7F7" w:val="clear"/>
            <w:vAlign w:val="center"/>
          </w:tcPr>
          <w:p>
            <w:pPr>
              <w:pStyle w:val="Normal"/>
              <w:ind w:hanging="2" w:left="0"/>
              <w:rPr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Grupo:</w:t>
            </w:r>
          </w:p>
        </w:tc>
        <w:tc>
          <w:tcPr>
            <w:tcW w:w="853" w:type="dxa"/>
            <w:tcBorders/>
            <w:shd w:fill="F7F7F7"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Normal"/>
              <w:ind w:hanging="2" w:left="0"/>
              <w:rPr>
                <w:rFonts w:ascii="Times New Roman" w:hAnsi="Times New Roman"/>
                <w:color w:val="000000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 xml:space="preserve"> </w:t>
            </w:r>
            <w:hyperlink r:id="rId5">
              <w:r>
                <w:rPr>
                  <w:rStyle w:val="Hyperlink"/>
                  <w:b w:val="false"/>
                  <w:bCs w:val="false"/>
                  <w:i w:val="false"/>
                  <w:caps w:val="false"/>
                  <w:smallCaps w:val="false"/>
                  <w:color w:val="000000"/>
                  <w:spacing w:val="0"/>
                  <w:sz w:val="22"/>
                  <w:szCs w:val="22"/>
                  <w:u w:val="single"/>
                  <w:shd w:fill="auto" w:val="clear"/>
                </w:rPr>
                <w:t>47.4</w:t>
              </w:r>
            </w:hyperlink>
          </w:p>
        </w:tc>
        <w:tc>
          <w:tcPr>
            <w:tcW w:w="6804" w:type="dxa"/>
            <w:tcBorders/>
            <w:shd w:fill="F7F7F7" w:val="clear"/>
            <w:tcMar>
              <w:left w:w="360" w:type="dxa"/>
              <w:right w:w="75" w:type="dxa"/>
            </w:tcMar>
            <w:vAlign w:val="center"/>
          </w:tcPr>
          <w:p>
            <w:pPr>
              <w:pStyle w:val="Normal"/>
              <w:ind w:hanging="0" w:left="0"/>
              <w:rPr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Comércio varejista de material de construção</w:t>
            </w:r>
          </w:p>
        </w:tc>
      </w:tr>
      <w:tr>
        <w:trPr/>
        <w:tc>
          <w:tcPr>
            <w:tcW w:w="1699" w:type="dxa"/>
            <w:tcBorders/>
            <w:shd w:fill="FDFDFD" w:val="clear"/>
            <w:vAlign w:val="center"/>
          </w:tcPr>
          <w:p>
            <w:pPr>
              <w:pStyle w:val="Normal"/>
              <w:ind w:hanging="2" w:left="0"/>
              <w:rPr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Classe:</w:t>
            </w:r>
          </w:p>
        </w:tc>
        <w:tc>
          <w:tcPr>
            <w:tcW w:w="853" w:type="dxa"/>
            <w:tcBorders/>
            <w:shd w:fill="FDFDFD"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Normal"/>
              <w:ind w:hanging="2" w:left="0"/>
              <w:rPr>
                <w:rFonts w:ascii="Times New Roman" w:hAnsi="Times New Roman"/>
                <w:color w:val="000000"/>
                <w:shd w:fill="auto" w:val="clear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 xml:space="preserve"> </w:t>
            </w:r>
            <w:hyperlink r:id="rId6">
              <w:r>
                <w:rPr>
                  <w:rStyle w:val="Hyperlink"/>
                  <w:b w:val="false"/>
                  <w:bCs w:val="false"/>
                  <w:i w:val="false"/>
                  <w:caps w:val="false"/>
                  <w:smallCaps w:val="false"/>
                  <w:color w:val="000000"/>
                  <w:spacing w:val="0"/>
                  <w:sz w:val="22"/>
                  <w:szCs w:val="22"/>
                  <w:u w:val="single"/>
                  <w:shd w:fill="auto" w:val="clear"/>
                </w:rPr>
                <w:t>47.44-0</w:t>
              </w:r>
            </w:hyperlink>
          </w:p>
        </w:tc>
        <w:tc>
          <w:tcPr>
            <w:tcW w:w="6804" w:type="dxa"/>
            <w:tcBorders/>
            <w:shd w:fill="FDFDFD" w:val="clear"/>
            <w:tcMar>
              <w:left w:w="660" w:type="dxa"/>
              <w:right w:w="75" w:type="dxa"/>
            </w:tcMar>
            <w:vAlign w:val="center"/>
          </w:tcPr>
          <w:p>
            <w:pPr>
              <w:pStyle w:val="Normal"/>
              <w:ind w:hanging="2" w:left="0"/>
              <w:rPr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Comércio varejista de ferragens, madeira e materiais de construção</w:t>
            </w:r>
          </w:p>
        </w:tc>
      </w:tr>
      <w:tr>
        <w:trPr>
          <w:trHeight w:val="122" w:hRule="atLeast"/>
        </w:trPr>
        <w:tc>
          <w:tcPr>
            <w:tcW w:w="1699" w:type="dxa"/>
            <w:tcBorders/>
            <w:shd w:fill="F7F7F7" w:val="clear"/>
            <w:vAlign w:val="center"/>
          </w:tcPr>
          <w:p>
            <w:pPr>
              <w:pStyle w:val="Normal"/>
              <w:ind w:hanging="2" w:left="0"/>
              <w:rPr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Subclasse:</w:t>
            </w:r>
          </w:p>
        </w:tc>
        <w:tc>
          <w:tcPr>
            <w:tcW w:w="853" w:type="dxa"/>
            <w:tcBorders/>
            <w:shd w:fill="F7F7F7" w:val="clear"/>
            <w:tcMar>
              <w:left w:w="75" w:type="dxa"/>
              <w:right w:w="75" w:type="dxa"/>
            </w:tcMar>
            <w:vAlign w:val="center"/>
          </w:tcPr>
          <w:p>
            <w:pPr>
              <w:pStyle w:val="Normal"/>
              <w:ind w:hanging="0" w:left="0"/>
              <w:rPr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47440/99</w:t>
            </w:r>
          </w:p>
        </w:tc>
        <w:tc>
          <w:tcPr>
            <w:tcW w:w="6804" w:type="dxa"/>
            <w:tcBorders/>
            <w:shd w:fill="F7F7F7" w:val="clear"/>
            <w:tcMar>
              <w:left w:w="960" w:type="dxa"/>
              <w:right w:w="75" w:type="dxa"/>
            </w:tcMar>
            <w:vAlign w:val="center"/>
          </w:tcPr>
          <w:p>
            <w:pPr>
              <w:pStyle w:val="Normal"/>
              <w:ind w:hanging="2" w:left="0"/>
              <w:rPr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Comércio varejista de materiais de construção em geral</w:t>
            </w:r>
          </w:p>
        </w:tc>
      </w:tr>
    </w:tbl>
    <w:p>
      <w:pPr>
        <w:pStyle w:val="Normal"/>
        <w:ind w:hanging="0" w:left="-709"/>
        <w:jc w:val="both"/>
        <w:rPr>
          <w:rFonts w:ascii="Times New Roman" w:hAnsi="Times New Roman" w:cs="Arial"/>
          <w:color w:val="FF0000"/>
          <w:sz w:val="24"/>
          <w:szCs w:val="24"/>
          <w:u w:val="single"/>
        </w:rPr>
      </w:pPr>
      <w:r>
        <w:rPr>
          <w:rFonts w:cs="Arial"/>
          <w:color w:val="FF0000"/>
          <w:sz w:val="24"/>
          <w:szCs w:val="24"/>
          <w:u w:val="single"/>
        </w:rPr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color w:themeColor="dark1" w:val="000000"/>
          <w:sz w:val="24"/>
          <w:szCs w:val="24"/>
          <w:u w:val="single"/>
        </w:rPr>
        <w:t>Fonte:</w:t>
      </w:r>
      <w:hyperlink r:id="rId7">
        <w:r>
          <w:rPr>
            <w:rStyle w:val="Hyperlink"/>
            <w:sz w:val="24"/>
            <w:szCs w:val="24"/>
          </w:rPr>
          <w:t>https://concla.ibge.gov.br/busca-online-cnae.html</w:t>
        </w:r>
      </w:hyperlink>
      <w:r>
        <w:rPr>
          <w:sz w:val="24"/>
          <w:szCs w:val="24"/>
        </w:rPr>
        <w:t xml:space="preserve"> </w:t>
      </w:r>
    </w:p>
    <w:p>
      <w:pPr>
        <w:pStyle w:val="Normal"/>
        <w:ind w:hanging="0" w:left="-2"/>
        <w:rPr>
          <w:rFonts w:ascii="Times New Roman" w:hAnsi="Times New Roman" w:cs="Arial"/>
          <w:color w:themeColor="dark1" w:val="000000"/>
          <w:sz w:val="24"/>
          <w:szCs w:val="24"/>
          <w:u w:val="single"/>
        </w:rPr>
      </w:pPr>
      <w:r>
        <w:rPr>
          <w:rFonts w:cs="Arial"/>
          <w:color w:themeColor="dark1" w:val="000000"/>
          <w:sz w:val="24"/>
          <w:szCs w:val="24"/>
          <w:u w:val="single"/>
        </w:rPr>
        <w:t xml:space="preserve">                                                                               </w:t>
      </w:r>
    </w:p>
    <w:p>
      <w:pPr>
        <w:pStyle w:val="Normal"/>
        <w:ind w:hanging="2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Certifica-se assim, a ausência de fracionamento de despesa para o CNAE</w:t>
      </w:r>
      <w:r>
        <w:rPr>
          <w:rFonts w:cs="Arial"/>
          <w:color w:val="000000"/>
          <w:sz w:val="24"/>
          <w:szCs w:val="24"/>
        </w:rPr>
        <w:t xml:space="preserve"> </w:t>
      </w:r>
      <w:r>
        <w:rPr>
          <w:rFonts w:cs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4744-0/99,</w:t>
      </w:r>
      <w:r>
        <w:rPr>
          <w:rFonts w:cs="Arial"/>
          <w:sz w:val="24"/>
          <w:szCs w:val="24"/>
        </w:rPr>
        <w:t xml:space="preserve"> por não haver contratações de objetos semelhantes para o mesmo ano fiscal.</w:t>
      </w:r>
    </w:p>
    <w:p>
      <w:pPr>
        <w:pStyle w:val="Normal"/>
        <w:shd w:fill="A8D08D" w:val="clear"/>
        <w:tabs>
          <w:tab w:val="clear" w:pos="720"/>
          <w:tab w:val="left" w:pos="284" w:leader="none"/>
        </w:tabs>
        <w:suppressAutoHyphens w:val="false"/>
        <w:spacing w:lineRule="auto" w:line="276" w:before="240" w:after="200"/>
        <w:ind w:hanging="0" w:left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IV - Detalhamento da Solução Escolhida: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Descrição da solução como um todo (art. 15, §1º, VII do Decreto nº3.537/2023):</w:t>
      </w:r>
    </w:p>
    <w:p>
      <w:pPr>
        <w:pStyle w:val="Normal"/>
        <w:ind w:hanging="0" w:left="-2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  <w:shd w:fill="auto" w:val="clear"/>
        </w:rPr>
        <w:t xml:space="preserve">Tendo em vista os fatos acima aduzidos, que compreende na contratação de uma empresa para </w:t>
      </w:r>
      <w:r>
        <w:rPr>
          <w:rFonts w:cs="Arial"/>
          <w:sz w:val="24"/>
          <w:szCs w:val="24"/>
          <w:shd w:fill="auto" w:val="clear"/>
        </w:rPr>
        <w:t xml:space="preserve">aquisição de tubos de drenagem </w:t>
      </w:r>
      <w:r>
        <w:rPr>
          <w:rFonts w:eastAsia="Times New Roman" w:cs="Arial"/>
          <w:color w:val="000000"/>
          <w:kern w:val="0"/>
          <w:position w:val="-1"/>
          <w:sz w:val="24"/>
          <w:szCs w:val="24"/>
          <w:shd w:fill="auto" w:val="clear"/>
          <w:lang w:val="pt-BR" w:eastAsia="pt-BR" w:bidi="ar-SA"/>
        </w:rPr>
        <w:t xml:space="preserve">de líquido percolado </w:t>
      </w:r>
      <w:r>
        <w:rPr>
          <w:rFonts w:cs="Arial"/>
          <w:sz w:val="24"/>
          <w:szCs w:val="24"/>
          <w:shd w:fill="auto" w:val="clear"/>
        </w:rPr>
        <w:t>para utilização no A</w:t>
      </w:r>
      <w:r>
        <w:rPr>
          <w:rFonts w:eastAsia="Times New Roman" w:cs="Arial"/>
          <w:color w:val="000000"/>
          <w:kern w:val="0"/>
          <w:position w:val="-1"/>
          <w:sz w:val="24"/>
          <w:szCs w:val="24"/>
          <w:shd w:fill="auto" w:val="clear"/>
          <w:lang w:val="pt-BR" w:eastAsia="pt-BR" w:bidi="ar-SA"/>
        </w:rPr>
        <w:t>terro Sanitário de Bandeirantes-PR</w:t>
      </w:r>
      <w:r>
        <w:rPr>
          <w:rFonts w:cs="Arial"/>
          <w:bCs/>
          <w:sz w:val="24"/>
          <w:szCs w:val="24"/>
          <w:shd w:fill="auto" w:val="clear"/>
        </w:rPr>
        <w:t>, vimos que a solução pro</w:t>
      </w:r>
      <w:r>
        <w:rPr>
          <w:rFonts w:cs="Arial"/>
          <w:bCs/>
          <w:sz w:val="24"/>
          <w:szCs w:val="24"/>
        </w:rPr>
        <w:t>posta é adequada e auxiliará nas atividades da Secretaria de Municipal de Meio Ambiente e Recursos Hídricos.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1.1. DA EXECUÇÃO E ABRANGÊNCIA DOS SERVIÇOS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1.1.1. O prazo de entrega do objeto é de até 5 (cinco) dias, contados a partir do recebimento da autorização de fornecimento/empenho.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1.1.2. A entrega do objeto deverá ser efetuada de forma única, no Almoxarifado Central da Prefeitura Municipal de Bandeirantes. No endereço: Avenida Prefeito Moacyr Castanho Nº 1434, Centro, CEP 86.360-000 – Bandeirantes – PR.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1.1.3. A CONTRATADA é inteiramente responsável pela qualidade do objeto. Será rejeitado no recebimento o objeto fornecido com especificações diferentes aos constantes da Proposta, as quais devem ser observadas quando da elaboração de termo de referência.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1.1.4. Todas as despesas de embalagem, seguros, transporte, tributos, frete, carregamento, descarregamento, encargos trabalhistas e previdenciários e outros custos decorrentes direta e indiretamente do fornecimento do objeto, correrão por conta exclusiva da CONTRATADA.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1.1.5. Na hipótese de necessidade de substituição, a CONTRATADA deverá fazê-la em conformidade com a indicação da Administração, no prazo máximo de 5 (cinco) dias úteis, contados da notificação por escrito, mantidos o preço inicialmente contratado. Sendo que o ato do recebimento não importará na aceitação.</w:t>
      </w:r>
    </w:p>
    <w:p>
      <w:pPr>
        <w:pStyle w:val="Normal"/>
        <w:ind w:hanging="0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 xml:space="preserve">1.1.6. Se o objeto entregue apresentar defeitos sistemáticos de fabricação, devidamente comprovados, deverá ser substituído no prazo máximo de </w:t>
      </w:r>
      <w:r>
        <w:rPr>
          <w:rFonts w:cs="Arial"/>
          <w:sz w:val="24"/>
          <w:szCs w:val="24"/>
        </w:rPr>
        <w:t>5</w:t>
      </w:r>
      <w:r>
        <w:rPr>
          <w:rFonts w:cs="Arial"/>
          <w:sz w:val="24"/>
          <w:szCs w:val="24"/>
        </w:rPr>
        <w:t xml:space="preserve"> (</w:t>
      </w:r>
      <w:r>
        <w:rPr>
          <w:rFonts w:cs="Arial"/>
          <w:sz w:val="24"/>
          <w:szCs w:val="24"/>
        </w:rPr>
        <w:t>cinco</w:t>
      </w:r>
      <w:r>
        <w:rPr>
          <w:rFonts w:cs="Arial"/>
          <w:sz w:val="24"/>
          <w:szCs w:val="24"/>
        </w:rPr>
        <w:t xml:space="preserve">) </w:t>
      </w:r>
      <w:r>
        <w:rPr>
          <w:rFonts w:cs="Arial"/>
          <w:sz w:val="24"/>
          <w:szCs w:val="24"/>
        </w:rPr>
        <w:t>cinco</w:t>
      </w:r>
      <w:r>
        <w:rPr>
          <w:rFonts w:cs="Arial"/>
          <w:sz w:val="24"/>
          <w:szCs w:val="24"/>
        </w:rPr>
        <w:t xml:space="preserve"> úteis. </w:t>
      </w:r>
    </w:p>
    <w:p>
      <w:pPr>
        <w:pStyle w:val="Normal"/>
        <w:ind w:hanging="0" w:left="-1"/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Justificativas para o parcelamento ou não da contratação (artigo 15, §1º, VIII do Decreto nº 3.537/2023): </w:t>
      </w:r>
    </w:p>
    <w:p>
      <w:pPr>
        <w:pStyle w:val="Normal"/>
        <w:ind w:firstLine="359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>Conforme a Lei de Licitações é obrigatório realizar o parcelamento quando o objeto for divisível, e o parcelamento for tecnicamente viável e economicamente vantajoso. É necessário avaliar se a solução é divisível ou não, levando-se em conta o mercado que a fornece.</w:t>
      </w:r>
    </w:p>
    <w:p>
      <w:pPr>
        <w:pStyle w:val="Normal"/>
        <w:ind w:firstLine="359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Para o objeto deste estudo denota-se que não é viável seja técnica e economicamente a divisão por conta de se tratar de único item. </w:t>
      </w:r>
    </w:p>
    <w:p>
      <w:pPr>
        <w:pStyle w:val="Normal"/>
        <w:rPr>
          <w:rFonts w:ascii="Times New Roman" w:hAnsi="Times New Roman"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Contratações correlatas e/ou interdependentes (art. 15, §1º, XI do Decreto nº 3.537/2023):</w:t>
      </w:r>
    </w:p>
    <w:p>
      <w:pPr>
        <w:pStyle w:val="Normal"/>
        <w:ind w:firstLine="359" w:left="-1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color w:themeColor="dark1" w:val="000000"/>
          <w:sz w:val="24"/>
          <w:szCs w:val="24"/>
        </w:rPr>
        <w:t>Não há necessidade/demanda de contratações correlatas ou interdependentes no presente objeto desta Contratação.</w:t>
      </w:r>
    </w:p>
    <w:p>
      <w:pPr>
        <w:pStyle w:val="Normal"/>
        <w:ind w:hanging="0" w:left="0"/>
        <w:rPr>
          <w:rFonts w:ascii="Times New Roman" w:hAnsi="Times New Roman"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4"/>
        </w:numPr>
        <w:ind w:hanging="0" w:left="0"/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Resultados pretendidos (art. 15, §1º, IX do Decreto nº 3.537/2023):</w:t>
        <w:tab/>
      </w:r>
    </w:p>
    <w:p>
      <w:pPr>
        <w:pStyle w:val="ListParagraph"/>
        <w:ind w:firstLine="358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>Podem ser percebidos benefícios na economicidade, uma vez que o procedimento de dispensa de licitação na forma eletrônica permite a contratação de empresa por preço competitivo no mercado, pois deverá sempre buscar a proposta mais vantajosa, com requisitos mínimos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>previamente estabelecidos no Edital. Buscando sempre um padrão de qualidade, onde a maior vantagem correspondente será a de menor custo e maior benefício para Administração Pública.</w:t>
      </w:r>
    </w:p>
    <w:p>
      <w:pPr>
        <w:pStyle w:val="ListParagraph"/>
        <w:ind w:firstLine="358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Investir na aquisição dos canos é de extrema importância, pois visa à implementação de um sistema de drenagem adequado, que proporcionará a coleta e o direcionamento adequado do líquido percolado, contribuindo para a preservação ambiental e o cumprimento das normas legais e regulamentares. Além disso, a melhoria na infraestrutura do aterro é fundamental para garantir a segurança e a sustentabilidade das operações, minimizando riscos ambientais para a comunidade local. </w:t>
      </w:r>
    </w:p>
    <w:p>
      <w:pPr>
        <w:pStyle w:val="ListParagraph"/>
        <w:ind w:hanging="0" w:left="358"/>
        <w:rPr>
          <w:rFonts w:ascii="Times New Roman" w:hAnsi="Times New Roman"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Providências a serem adotadas (art. 15, §1º, X do Decreto nº 3.537/2023):</w:t>
      </w:r>
    </w:p>
    <w:p>
      <w:pPr>
        <w:pStyle w:val="ListParagraph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>Elaboração do Termo de Referência, contendo todos os elementos necessários para a contratação de bens e serviços;</w:t>
      </w:r>
    </w:p>
    <w:p>
      <w:pPr>
        <w:pStyle w:val="ListParagraph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>Elaboração e publicação do Edital de Dispensa Eletrônica;</w:t>
      </w:r>
    </w:p>
    <w:p>
      <w:pPr>
        <w:pStyle w:val="ListParagraph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>Receber o objeto da contratação.</w:t>
      </w:r>
    </w:p>
    <w:p>
      <w:pPr>
        <w:pStyle w:val="ListParagraph"/>
        <w:ind w:hanging="0" w:left="358"/>
        <w:rPr>
          <w:rFonts w:ascii="Times New Roman" w:hAnsi="Times New Roman"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Possíveis impactos ambientais (art. 15, §1º, XII do Decreto nº 3.537/2023):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>6.1. Visando estimular e estabelecer procedimentos de descarte, reparos adequados e soluções eficientes que causem menos impactos na natureza, a CONTRATADA deverá quando se fizer necessário utilizar papel reciclado, impressão frente e verso, visando reduzir o consumo de água e energia, bem como a emissão de gases efeito estufa e a geração de resíduos.</w:t>
      </w:r>
    </w:p>
    <w:p>
      <w:pPr>
        <w:pStyle w:val="Normal"/>
        <w:ind w:hanging="2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>6.2. A CONTRATADA deverá respeitar a legislação vigente e as normas técnicas, elaboradas pela ABNT e pelo INMETRO, para aferição e garantia de aplicação dos requisitos mínimos de qualidade, utilidade e segurança dos materiais e serviços.</w:t>
      </w:r>
    </w:p>
    <w:p>
      <w:pPr>
        <w:pStyle w:val="Normal"/>
        <w:ind w:hanging="2" w:left="0"/>
        <w:jc w:val="both"/>
        <w:rPr>
          <w:rFonts w:ascii="Times New Roman" w:hAnsi="Times New Roman"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Mapa de Risco</w:t>
      </w:r>
    </w:p>
    <w:p>
      <w:pPr>
        <w:pStyle w:val="ListParagraph"/>
        <w:ind w:hanging="0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Cs/>
          <w:sz w:val="24"/>
          <w:szCs w:val="24"/>
        </w:rPr>
        <w:t>7.1. Para os fins do presente auto, com base no aspecto discricionário conferido à Administração pelo art. 72, inciso I, da Lei nº 14.133, de 2021, e Art. 186, § 2º do Decreto Municipal Nº 3.537/2023, no entende-se que a menor complexidade do objeto prescinde de análise de riscos. Ainda assim, registra-se que as informações necessárias e suficientes, encontram-se nos artefatos documentais que compõem a instrução processual, e são capazes de maximizar o interesse público, provendo a devida segurança transacional.</w:t>
      </w:r>
    </w:p>
    <w:p>
      <w:pPr>
        <w:pStyle w:val="Normal"/>
        <w:shd w:fill="A8D08D" w:val="clear"/>
        <w:tabs>
          <w:tab w:val="clear" w:pos="720"/>
          <w:tab w:val="left" w:pos="284" w:leader="none"/>
        </w:tabs>
        <w:suppressAutoHyphens w:val="false"/>
        <w:spacing w:lineRule="auto" w:line="276" w:before="240" w:after="200"/>
        <w:ind w:hanging="0" w:left="0"/>
        <w:textAlignment w:val="auto"/>
        <w:outlineLvl w:val="9"/>
        <w:rPr>
          <w:rFonts w:ascii="Times New Roman" w:hAnsi="Times New Roman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V – Posicionamento Conclusivo:</w:t>
      </w:r>
    </w:p>
    <w:p>
      <w:pPr>
        <w:pStyle w:val="Normal"/>
        <w:ind w:hanging="2" w:left="0"/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O presente ESTUDO TÉCNICO PRELIMINAR, elaborado em harmonia com Lei nº 14.133/2021 e Decreto nº 3.537/2023 de 09 de maio de 2023, considera a análise das necessidades elencadas pela área requisitante e os demais aspectos normativos para aquisição de tubulação para drenagem e concluiu pela VIABILIDADE DA CONTRATAÇÃO, uma vez considerados os seus potenciais benefícios em termos de eficácia, eficiência, efetividade e economicidade. Em complemento aos requisitos listados RECOMENDAMOS o prosseguimento do processo não sendo possível observar óbices ao prosseguimento da presente aquisição/contratação no formato indicado.</w:t>
      </w:r>
    </w:p>
    <w:p>
      <w:pPr>
        <w:pStyle w:val="Normal"/>
        <w:ind w:hanging="2" w:left="0"/>
        <w:jc w:val="center"/>
        <w:rPr>
          <w:rFonts w:ascii="Times New Roman" w:hAnsi="Times New Roman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ind w:hanging="2" w:left="0"/>
        <w:jc w:val="center"/>
        <w:rPr>
          <w:rFonts w:ascii="Times New Roman" w:hAnsi="Times New Roman"/>
          <w:sz w:val="24"/>
          <w:szCs w:val="24"/>
        </w:rPr>
      </w:pPr>
      <w:r>
        <w:rPr>
          <w:rFonts w:cs="Arial"/>
          <w:sz w:val="24"/>
          <w:szCs w:val="24"/>
        </w:rPr>
        <w:t>Bandeirantes (PR), 18 de março de 2025.</w:t>
      </w:r>
    </w:p>
    <w:p>
      <w:pPr>
        <w:pStyle w:val="Normal"/>
        <w:ind w:hanging="2" w:left="0"/>
        <w:jc w:val="center"/>
        <w:rPr>
          <w:rFonts w:ascii="Times New Roman" w:hAnsi="Times New Roman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tbl>
      <w:tblPr>
        <w:tblW w:w="9193" w:type="dxa"/>
        <w:jc w:val="left"/>
        <w:tblInd w:w="26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4504"/>
        <w:gridCol w:w="4689"/>
      </w:tblGrid>
      <w:tr>
        <w:trPr>
          <w:trHeight w:val="423" w:hRule="atLeast"/>
        </w:trPr>
        <w:tc>
          <w:tcPr>
            <w:tcW w:w="9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57"/>
              <w:ind w:hanging="2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Equipe de Planejamento da Contratação</w:t>
            </w:r>
          </w:p>
        </w:tc>
      </w:tr>
      <w:tr>
        <w:trPr>
          <w:trHeight w:val="445" w:hRule="atLeast"/>
        </w:trPr>
        <w:tc>
          <w:tcPr>
            <w:tcW w:w="4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57"/>
              <w:ind w:hanging="2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Integrante Requisitante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before="0" w:after="57"/>
              <w:ind w:hanging="2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Integrante Administrativo</w:t>
            </w:r>
          </w:p>
        </w:tc>
      </w:tr>
      <w:tr>
        <w:trPr>
          <w:trHeight w:val="1158" w:hRule="atLeast"/>
        </w:trPr>
        <w:tc>
          <w:tcPr>
            <w:tcW w:w="4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ind w:hanging="2" w:left="0"/>
              <w:jc w:val="center"/>
              <w:rPr>
                <w:rFonts w:ascii="Times New Roman" w:hAnsi="Times New Roman" w:eastAsia="SimSun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</w:r>
          </w:p>
          <w:p>
            <w:pPr>
              <w:pStyle w:val="Normal"/>
              <w:ind w:hanging="2" w:left="0"/>
              <w:jc w:val="center"/>
              <w:rPr>
                <w:rFonts w:ascii="Times New Roman" w:hAnsi="Times New Roman" w:eastAsia="SimSun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</w:r>
          </w:p>
          <w:p>
            <w:pPr>
              <w:pStyle w:val="Normal"/>
              <w:ind w:hanging="2" w:left="0"/>
              <w:jc w:val="center"/>
              <w:rPr>
                <w:rFonts w:ascii="Times New Roman" w:hAnsi="Times New Roman" w:eastAsia="SimSun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</w:r>
          </w:p>
          <w:p>
            <w:pPr>
              <w:pStyle w:val="Normal"/>
              <w:ind w:hanging="2" w:left="0"/>
              <w:jc w:val="center"/>
              <w:rPr>
                <w:rFonts w:ascii="Times New Roman" w:hAnsi="Times New Roman" w:eastAsia="SimSun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</w:r>
          </w:p>
          <w:p>
            <w:pPr>
              <w:pStyle w:val="Normal"/>
              <w:ind w:hanging="2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  <w:t>José de Carvalho Henriques Neto</w:t>
            </w:r>
          </w:p>
          <w:p>
            <w:pPr>
              <w:pStyle w:val="Normal"/>
              <w:ind w:hanging="2"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  <w:t>Secretária de Administração</w:t>
            </w:r>
          </w:p>
          <w:p>
            <w:pPr>
              <w:pStyle w:val="Normal"/>
              <w:spacing w:before="0" w:after="57"/>
              <w:ind w:hanging="2" w:left="0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bottom"/>
          </w:tcPr>
          <w:p>
            <w:pPr>
              <w:pStyle w:val="Normal"/>
              <w:widowControl w:val="false"/>
              <w:tabs>
                <w:tab w:val="clear" w:pos="720"/>
                <w:tab w:val="right" w:pos="9071" w:leader="none"/>
              </w:tabs>
              <w:spacing w:lineRule="auto" w:line="240"/>
              <w:ind w:hanging="2"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  <w:t>Patrícia Pedroso de Oliveira</w:t>
            </w:r>
          </w:p>
          <w:p>
            <w:pPr>
              <w:pStyle w:val="Normal"/>
              <w:widowControl w:val="false"/>
              <w:tabs>
                <w:tab w:val="clear" w:pos="720"/>
                <w:tab w:val="right" w:pos="9071" w:leader="none"/>
              </w:tabs>
              <w:spacing w:lineRule="auto" w:line="240"/>
              <w:ind w:hanging="2"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  <w:t>Secretária de Planejamento</w:t>
            </w:r>
          </w:p>
        </w:tc>
      </w:tr>
      <w:tr>
        <w:trPr>
          <w:trHeight w:val="1130" w:hRule="atLeast"/>
        </w:trPr>
        <w:tc>
          <w:tcPr>
            <w:tcW w:w="450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bottom"/>
          </w:tcPr>
          <w:p>
            <w:pPr>
              <w:pStyle w:val="ListParagraph"/>
              <w:ind w:hanging="360" w:left="720" w:right="-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erriweather" w:cs="Arial"/>
                <w:color w:themeColor="dark1" w:val="000000"/>
                <w:kern w:val="2"/>
                <w:sz w:val="24"/>
                <w:szCs w:val="24"/>
                <w:lang w:eastAsia="zh-CN" w:bidi="hi-IN"/>
              </w:rPr>
              <w:t xml:space="preserve">         </w:t>
            </w:r>
            <w:r>
              <w:rPr>
                <w:rFonts w:eastAsia="Merriweather" w:cs="Arial"/>
                <w:color w:themeColor="dark1" w:val="000000"/>
                <w:kern w:val="2"/>
                <w:sz w:val="24"/>
                <w:szCs w:val="24"/>
                <w:lang w:eastAsia="zh-CN" w:bidi="hi-IN"/>
              </w:rPr>
              <w:t>P</w:t>
            </w: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  <w:t>aulo Aparecido Valentin Arruda</w:t>
            </w:r>
          </w:p>
          <w:p>
            <w:pPr>
              <w:pStyle w:val="Normal"/>
              <w:widowControl w:val="false"/>
              <w:tabs>
                <w:tab w:val="clear" w:pos="720"/>
                <w:tab w:val="right" w:pos="9071" w:leader="none"/>
              </w:tabs>
              <w:spacing w:lineRule="auto" w:line="240"/>
              <w:ind w:hanging="2" w:left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cs="Arial"/>
                <w:kern w:val="2"/>
                <w:sz w:val="24"/>
                <w:szCs w:val="24"/>
                <w:lang w:eastAsia="zh-CN" w:bidi="hi-IN"/>
              </w:rPr>
              <w:t>Operador</w:t>
            </w:r>
          </w:p>
        </w:tc>
      </w:tr>
    </w:tbl>
    <w:p>
      <w:pPr>
        <w:pStyle w:val="Normal"/>
        <w:spacing w:before="0" w:after="57"/>
        <w:ind w:hanging="0" w:left="0"/>
        <w:rPr>
          <w:rFonts w:ascii="Times New Roman" w:hAnsi="Times New Roman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sectPr>
      <w:headerReference w:type="default" r:id="rId8"/>
      <w:footerReference w:type="default" r:id="rId9"/>
      <w:type w:val="nextPage"/>
      <w:pgSz w:w="11906" w:h="16838"/>
      <w:pgMar w:left="1701" w:right="851" w:gutter="0" w:header="720" w:top="2410" w:footer="720" w:bottom="992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swiss"/>
    <w:pitch w:val="variable"/>
  </w:font>
  <w:font w:name="Segoe U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Nyala">
    <w:charset w:val="00"/>
    <w:family w:val="auto"/>
    <w:pitch w:val="variable"/>
  </w:font>
  <w:font w:name="Georgia">
    <w:charset w:val="00"/>
    <w:family w:val="roman"/>
    <w:pitch w:val="variable"/>
  </w:font>
  <w:font w:name="Algerian">
    <w:altName w:val="comic"/>
    <w:charset w:val="00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numPr>
        <w:ilvl w:val="0"/>
        <w:numId w:val="1"/>
      </w:numPr>
      <w:jc w:val="both"/>
      <w:rPr>
        <w:sz w:val="14"/>
        <w:szCs w:val="14"/>
      </w:rPr>
    </w:pPr>
    <w:r>
      <w:rPr>
        <w:sz w:val="14"/>
        <w:szCs w:val="14"/>
      </w:rPr>
      <w:t xml:space="preserve">                </w:t>
    </w:r>
    <w:r>
      <w:rPr>
        <w:sz w:val="14"/>
        <w:szCs w:val="14"/>
      </w:rPr>
      <w:t>Rua Frei Rafael Proner nº 1457 – Caixa Postal 281 – CEP 86.360-000 –– Tel.: (43) 3542-4525 – Fax 3542-3322 - CNPJ 76.235.753/0001-48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numPr>
        <w:ilvl w:val="0"/>
        <w:numId w:val="1"/>
      </w:numPr>
      <w:ind w:hanging="2" w:left="0"/>
      <w:rPr/>
    </w:pPr>
    <w:r>
      <w:rPr/>
      <w:drawing>
        <wp:anchor behindDoc="1" distT="0" distB="0" distL="0" distR="0" simplePos="0" locked="0" layoutInCell="1" allowOverlap="1" relativeHeight="10">
          <wp:simplePos x="0" y="0"/>
          <wp:positionH relativeFrom="column">
            <wp:posOffset>-1270</wp:posOffset>
          </wp:positionH>
          <wp:positionV relativeFrom="paragraph">
            <wp:posOffset>3810</wp:posOffset>
          </wp:positionV>
          <wp:extent cx="979805" cy="1045845"/>
          <wp:effectExtent l="0" t="0" r="0" b="0"/>
          <wp:wrapNone/>
          <wp:docPr id="2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1045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1" allowOverlap="1" relativeHeight="27">
              <wp:simplePos x="0" y="0"/>
              <wp:positionH relativeFrom="column">
                <wp:posOffset>1028700</wp:posOffset>
              </wp:positionH>
              <wp:positionV relativeFrom="paragraph">
                <wp:posOffset>12065</wp:posOffset>
              </wp:positionV>
              <wp:extent cx="4242435" cy="864870"/>
              <wp:effectExtent l="635" t="0" r="0" b="0"/>
              <wp:wrapNone/>
              <wp:docPr id="3" name="Retângul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2600" cy="864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numPr>
                              <w:ilvl w:val="0"/>
                              <w:numId w:val="1"/>
                            </w:numPr>
                            <w:spacing w:lineRule="auto" w:line="240" w:before="360" w:after="0"/>
                            <w:ind w:hanging="3" w:left="1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28"/>
                              <w:szCs w:val="28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Contedodoquadro"/>
                            <w:numPr>
                              <w:ilvl w:val="0"/>
                              <w:numId w:val="1"/>
                            </w:numPr>
                            <w:spacing w:lineRule="auto" w:line="240" w:before="120" w:after="0"/>
                            <w:ind w:hanging="3" w:left="1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eastAsia="Algerian" w:cs="Algerian" w:ascii="Algerian" w:hAnsi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>
                          <w:pPr>
                            <w:pStyle w:val="Contedodoquadro"/>
                            <w:numPr>
                              <w:ilvl w:val="0"/>
                              <w:numId w:val="1"/>
                            </w:numPr>
                            <w:spacing w:lineRule="auto" w:line="240"/>
                            <w:ind w:hanging="2" w:left="0"/>
                            <w:rPr>
                              <w:color w:val="000000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tângulo 3" path="m0,0l-2147483645,0l-2147483645,-2147483646l0,-2147483646xe" stroked="f" o:allowincell="f" style="position:absolute;margin-left:81pt;margin-top:0.95pt;width:334pt;height:68.0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numPr>
                        <w:ilvl w:val="0"/>
                        <w:numId w:val="1"/>
                      </w:numPr>
                      <w:spacing w:lineRule="auto" w:line="240" w:before="360" w:after="0"/>
                      <w:ind w:hanging="3" w:left="1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28"/>
                        <w:szCs w:val="28"/>
                      </w:rPr>
                      <w:t>PREFEITURA MUNICIPAL DE BANDEIRANTES</w:t>
                    </w:r>
                  </w:p>
                  <w:p>
                    <w:pPr>
                      <w:pStyle w:val="Contedodoquadro"/>
                      <w:numPr>
                        <w:ilvl w:val="0"/>
                        <w:numId w:val="1"/>
                      </w:numPr>
                      <w:spacing w:lineRule="auto" w:line="240" w:before="120" w:after="0"/>
                      <w:ind w:hanging="3" w:left="1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eastAsia="Algerian" w:cs="Algerian" w:ascii="Algerian" w:hAnsi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>
                    <w:pPr>
                      <w:pStyle w:val="Contedodoquadro"/>
                      <w:numPr>
                        <w:ilvl w:val="0"/>
                        <w:numId w:val="1"/>
                      </w:numPr>
                      <w:spacing w:lineRule="auto" w:line="240"/>
                      <w:ind w:hanging="2" w:left="0"/>
                      <w:rPr>
                        <w:color w:val="000000"/>
                      </w:rPr>
                    </w:pPr>
                    <w:r>
                      <w:rPr/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numPr>
        <w:ilvl w:val="0"/>
        <w:numId w:val="1"/>
      </w:numPr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  <w:p>
    <w:pPr>
      <w:pStyle w:val="Normal"/>
      <w:numPr>
        <w:ilvl w:val="0"/>
        <w:numId w:val="1"/>
      </w:numPr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  <w:p>
    <w:pPr>
      <w:pStyle w:val="Normal"/>
      <w:numPr>
        <w:ilvl w:val="0"/>
        <w:numId w:val="1"/>
      </w:numPr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  <w:p>
    <w:pPr>
      <w:pStyle w:val="Normal"/>
      <w:numPr>
        <w:ilvl w:val="0"/>
        <w:numId w:val="1"/>
      </w:numPr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  <w:p>
    <w:pPr>
      <w:pStyle w:val="Normal"/>
      <w:numPr>
        <w:ilvl w:val="0"/>
        <w:numId w:val="1"/>
      </w:numPr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  <w:p>
    <w:pPr>
      <w:pStyle w:val="Normal"/>
      <w:numPr>
        <w:ilvl w:val="0"/>
        <w:numId w:val="1"/>
      </w:numPr>
      <w:tabs>
        <w:tab w:val="clear" w:pos="720"/>
        <w:tab w:val="center" w:pos="4252" w:leader="none"/>
        <w:tab w:val="right" w:pos="8504" w:leader="none"/>
      </w:tabs>
      <w:spacing w:lineRule="auto" w:line="240"/>
      <w:ind w:hanging="2" w:left="0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568" w:hanging="57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358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718" w:hanging="720"/>
      </w:pPr>
      <w:rPr>
        <w:b/>
      </w:rPr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718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078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078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438" w:hanging="144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438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798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1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7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8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58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719" w:hanging="72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081" w:hanging="108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082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443" w:hanging="144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444" w:hanging="144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805" w:hanging="180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806" w:hanging="180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71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7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3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8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pt-BR" w:eastAsia="pt-BR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position w:val="-1"/>
      <w:sz w:val="24"/>
      <w:szCs w:val="24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ind w:left="3969"/>
      <w:jc w:val="both"/>
    </w:pPr>
    <w:rPr>
      <w:b/>
      <w:szCs w:val="20"/>
      <w:u w:val="single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0"/>
        <w:numId w:val="0"/>
      </w:numPr>
      <w:spacing w:before="360" w:after="80"/>
      <w:ind w:hanging="1" w:left="-1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numPr>
        <w:ilvl w:val="0"/>
        <w:numId w:val="0"/>
      </w:numPr>
      <w:spacing w:before="240" w:after="60"/>
      <w:ind w:hanging="1" w:left="-1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0"/>
        <w:numId w:val="0"/>
      </w:numPr>
      <w:spacing w:before="240" w:after="40"/>
      <w:ind w:hanging="1" w:left="-1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0"/>
        <w:numId w:val="0"/>
      </w:numPr>
      <w:spacing w:before="220" w:after="40"/>
      <w:ind w:hanging="1" w:left="-1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0"/>
        <w:numId w:val="0"/>
      </w:numPr>
      <w:spacing w:before="200" w:after="40"/>
      <w:ind w:hanging="1" w:left="-1"/>
      <w:outlineLvl w:val="5"/>
    </w:pPr>
    <w:rPr>
      <w:b/>
      <w:sz w:val="20"/>
      <w:szCs w:val="20"/>
    </w:rPr>
  </w:style>
  <w:style w:type="character" w:styleId="DefaultParagraphFont">
    <w:name w:val="Default Paragraph Font"/>
    <w:qFormat/>
    <w:rPr/>
  </w:style>
  <w:style w:type="character" w:styleId="CabealhoChar">
    <w:name w:val="Cabeçalho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RodapChar">
    <w:name w:val="Rodapé Char"/>
    <w:qFormat/>
    <w:rPr>
      <w:w w:val="100"/>
      <w:position w:val="0"/>
      <w:sz w:val="24"/>
      <w:sz w:val="24"/>
      <w:szCs w:val="24"/>
      <w:effect w:val="none"/>
      <w:vertAlign w:val="baseline"/>
      <w:em w:val="none"/>
    </w:rPr>
  </w:style>
  <w:style w:type="character" w:styleId="TextodebaloChar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Ttulo3Char">
    <w:name w:val="Título 3 Char"/>
    <w:qFormat/>
    <w:rPr>
      <w:rFonts w:ascii="Calibri Light" w:hAnsi="Calibri Light" w:eastAsia="Times New Roman" w:cs="Times New Roman"/>
      <w:b/>
      <w:bCs/>
      <w:w w:val="100"/>
      <w:position w:val="0"/>
      <w:sz w:val="26"/>
      <w:sz w:val="26"/>
      <w:szCs w:val="26"/>
      <w:effect w:val="none"/>
      <w:vertAlign w:val="baseline"/>
      <w:em w:val="none"/>
    </w:rPr>
  </w:style>
  <w:style w:type="character" w:styleId="Recuodecorpodetexto3Char">
    <w:name w:val="Recuo de corpo de texto 3 Char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xtodenotaderodapChar">
    <w:name w:val="Texto de nota de rodapé Char"/>
    <w:basedOn w:val="DefaultParagraphFont"/>
    <w:qFormat/>
    <w:rPr>
      <w:sz w:val="20"/>
      <w:szCs w:val="20"/>
      <w:vertAlign w:val="subscript"/>
    </w:rPr>
  </w:style>
  <w:style w:type="character" w:styleId="Caracteresdenotaderodap">
    <w:name w:val="Caracteres de nota de rodapé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MenoPendente1">
    <w:name w:val="Menção Pendente1"/>
    <w:basedOn w:val="DefaultParagraphFont"/>
    <w:qFormat/>
    <w:rPr>
      <w:color w:val="605E5C"/>
      <w:shd w:fill="E1DFDD" w:val="clear"/>
    </w:rPr>
  </w:style>
  <w:style w:type="character" w:styleId="FollowedHyperlink">
    <w:name w:val="FollowedHyperlink"/>
    <w:basedOn w:val="DefaultParagraphFont"/>
    <w:rPr>
      <w:color w:themeColor="followedHyperlink" w:val="800080"/>
      <w:u w:val="single"/>
    </w:rPr>
  </w:style>
  <w:style w:type="character" w:styleId="label">
    <w:name w:val="label"/>
    <w:basedOn w:val="DefaultParagraphFont"/>
    <w:qFormat/>
    <w:rPr/>
  </w:style>
  <w:style w:type="character" w:styleId="destaque">
    <w:name w:val="destaque"/>
    <w:basedOn w:val="DefaultParagraphFont"/>
    <w:qFormat/>
    <w:rPr/>
  </w:style>
  <w:style w:type="character" w:styleId="Strong">
    <w:name w:val="Strong"/>
    <w:basedOn w:val="DefaultParagraphFont"/>
    <w:qFormat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BodyTextIndent">
    <w:name w:val="Body Text Indent"/>
    <w:basedOn w:val="Normal"/>
    <w:pPr>
      <w:ind w:firstLine="3118" w:left="851"/>
      <w:jc w:val="both"/>
    </w:pPr>
    <w:rPr>
      <w:sz w:val="28"/>
      <w:szCs w:val="20"/>
    </w:rPr>
  </w:style>
  <w:style w:type="paragraph" w:styleId="BodyTextIndent2">
    <w:name w:val="Body Text Indent 2"/>
    <w:basedOn w:val="Normal"/>
    <w:qFormat/>
    <w:pPr>
      <w:ind w:firstLine="2889" w:left="1080"/>
      <w:jc w:val="both"/>
    </w:pPr>
    <w:rPr>
      <w:bCs/>
      <w:sz w:val="25"/>
      <w:szCs w:val="28"/>
    </w:rPr>
  </w:style>
  <w:style w:type="paragraph" w:styleId="Cabealhoerodap">
    <w:name w:val="Cabeçalho e rodapé"/>
    <w:basedOn w:val="Normal"/>
    <w:qFormat/>
    <w:pPr/>
    <w:rPr/>
  </w:style>
  <w:style w:type="paragraph" w:styleId="Cabealhoerodapuser">
    <w:name w:val="Cabeçalho e rodapé (user)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qFormat/>
    <w:pPr/>
    <w:rPr>
      <w:rFonts w:ascii="Segoe UI" w:hAnsi="Segoe UI"/>
      <w:sz w:val="18"/>
      <w:szCs w:val="18"/>
    </w:rPr>
  </w:style>
  <w:style w:type="paragraph" w:styleId="BodyTextIndent3">
    <w:name w:val="Body Text Indent 3"/>
    <w:basedOn w:val="Normal"/>
    <w:qFormat/>
    <w:pPr>
      <w:spacing w:before="0" w:after="120"/>
      <w:ind w:left="283"/>
    </w:pPr>
    <w:rPr>
      <w:sz w:val="16"/>
      <w:szCs w:val="16"/>
    </w:rPr>
  </w:style>
  <w:style w:type="paragraph" w:styleId="Default">
    <w:name w:val="Default"/>
    <w:qFormat/>
    <w:pPr>
      <w:widowControl/>
      <w:numPr>
        <w:ilvl w:val="0"/>
        <w:numId w:val="0"/>
      </w:numPr>
      <w:suppressAutoHyphens w:val="true"/>
      <w:kinsoku w:val="true"/>
      <w:overflowPunct w:val="true"/>
      <w:autoSpaceDE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Nyala" w:hAnsi="Nyala" w:eastAsia="Calibri" w:cs="Nyala"/>
      <w:color w:val="000000"/>
      <w:kern w:val="0"/>
      <w:position w:val="-1"/>
      <w:sz w:val="24"/>
      <w:szCs w:val="24"/>
      <w:lang w:val="pt-BR" w:eastAsia="en-US" w:bidi="ar-SA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FootnoteText">
    <w:name w:val="footnote text"/>
    <w:basedOn w:val="Normal"/>
    <w:link w:val="TextodenotaderodapChar"/>
    <w:pPr>
      <w:spacing w:lineRule="auto" w:line="240"/>
    </w:pPr>
    <w:rPr>
      <w:sz w:val="20"/>
      <w:szCs w:val="20"/>
    </w:rPr>
  </w:style>
  <w:style w:type="paragraph" w:styleId="LO-Normal">
    <w:name w:val="LO-Normal"/>
    <w:qFormat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left"/>
      <w:textAlignment w:val="baseline"/>
    </w:pPr>
    <w:rPr>
      <w:rFonts w:ascii="Times New Roman" w:hAnsi="Times New Roman" w:eastAsia="SimSun" w:cs="Tahoma"/>
      <w:color w:val="auto"/>
      <w:kern w:val="2"/>
      <w:sz w:val="24"/>
      <w:szCs w:val="24"/>
      <w:lang w:val="pt-BR" w:eastAsia="hi-IN" w:bidi="hi-IN"/>
    </w:rPr>
  </w:style>
  <w:style w:type="paragraph" w:styleId="Contedodoquadro">
    <w:name w:val="Conteúdo do quadro"/>
    <w:basedOn w:val="Normal"/>
    <w:qFormat/>
    <w:pPr/>
    <w:rPr/>
  </w:style>
  <w:style w:type="paragraph" w:styleId="Contedodoquadrouser">
    <w:name w:val="Conteúdo do quadro (user)"/>
    <w:basedOn w:val="Normal"/>
    <w:qFormat/>
    <w:pPr/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Semlista">
    <w:name w:val="Sem lista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concla.ibge.gov.br/busca-online-cnae.html?view=secao&amp;tipo=cnae&amp;versao=10&amp;secao=G&amp;chave=4744099" TargetMode="External"/><Relationship Id="rId4" Type="http://schemas.openxmlformats.org/officeDocument/2006/relationships/hyperlink" Target="https://concla.ibge.gov.br/busca-online-cnae.html?view=divisao&amp;tipo=cnae&amp;versao=10&amp;divisao=47&amp;chave=4744099" TargetMode="External"/><Relationship Id="rId5" Type="http://schemas.openxmlformats.org/officeDocument/2006/relationships/hyperlink" Target="https://concla.ibge.gov.br/busca-online-cnae.html?view=grupo&amp;tipo=cnae&amp;versao=10&amp;grupo=474&amp;chave=4744099" TargetMode="External"/><Relationship Id="rId6" Type="http://schemas.openxmlformats.org/officeDocument/2006/relationships/hyperlink" Target="https://concla.ibge.gov.br/busca-online-cnae.html?view=classe&amp;tipo=cnae&amp;versao=10&amp;classe=47440&amp;chave=4744099" TargetMode="External"/><Relationship Id="rId7" Type="http://schemas.openxmlformats.org/officeDocument/2006/relationships/hyperlink" Target="https://concla.ibge.gov.br/busca-online-cnae.html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Application>LibreOffice/24.8.5.2$Windows_X86_64 LibreOffice_project/fddf2685c70b461e7832239a0162a77216259f22</Application>
  <AppVersion>15.0000</AppVersion>
  <Pages>8</Pages>
  <Words>3347</Words>
  <Characters>18926</Characters>
  <CharactersWithSpaces>22467</CharactersWithSpaces>
  <Paragraphs>190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2024-04-23T11:18:00Z</dcterms:created>
  <dc:creator>x</dc:creator>
  <dc:description/>
  <dc:language>pt-BR</dc:language>
  <cp:lastModifiedBy/>
  <cp:lastPrinted>2025-03-18T10:36:36Z</cp:lastPrinted>
  <dcterms:modified xsi:type="dcterms:W3CDTF">2025-03-20T08:06:02Z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