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hanging="2" w:left="0"/>
        <w:rPr>
          <w:rFonts w:eastAsia="Merriweather"/>
        </w:rPr>
      </w:pPr>
      <w:r>
        <w:rPr>
          <w:rFonts w:eastAsia="Merriweather"/>
        </w:rPr>
      </w:r>
    </w:p>
    <w:p>
      <w:pPr>
        <w:pStyle w:val="Normal"/>
        <w:spacing w:before="0" w:after="57"/>
        <w:ind w:hanging="2" w:left="0"/>
        <w:jc w:val="center"/>
        <w:rPr>
          <w:b/>
          <w:sz w:val="22"/>
          <w:szCs w:val="22"/>
        </w:rPr>
      </w:pPr>
      <w:r>
        <w:rPr>
          <w:b/>
          <w:sz w:val="22"/>
          <w:szCs w:val="22"/>
        </w:rPr>
        <w:t xml:space="preserve">MAPA DE RISCO </w:t>
      </w:r>
    </w:p>
    <w:p>
      <w:pPr>
        <w:pStyle w:val="Normal"/>
        <w:spacing w:before="0" w:after="57"/>
        <w:ind w:hanging="2" w:left="0"/>
        <w:jc w:val="center"/>
        <w:rPr>
          <w:b/>
          <w:sz w:val="22"/>
          <w:szCs w:val="22"/>
        </w:rPr>
      </w:pPr>
      <w:r>
        <w:rPr>
          <w:b/>
          <w:sz w:val="22"/>
          <w:szCs w:val="22"/>
        </w:rPr>
      </w:r>
    </w:p>
    <w:p>
      <w:pPr>
        <w:pStyle w:val="Normal"/>
        <w:spacing w:before="0" w:after="57"/>
        <w:ind w:hanging="2" w:left="0"/>
        <w:rPr>
          <w:b/>
          <w:sz w:val="22"/>
          <w:szCs w:val="22"/>
        </w:rPr>
      </w:pPr>
      <w:r>
        <w:rPr>
          <w:b/>
          <w:sz w:val="22"/>
          <w:szCs w:val="22"/>
        </w:rPr>
        <w:t>INFORMAÇÕES BÁSICAS:</w:t>
      </w:r>
    </w:p>
    <w:tbl>
      <w:tblPr>
        <w:tblStyle w:val="Tabelacomgrade"/>
        <w:tblW w:w="1544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5446"/>
      </w:tblGrid>
      <w:tr>
        <w:trPr/>
        <w:tc>
          <w:tcPr>
            <w:tcW w:w="15446" w:type="dxa"/>
            <w:tcBorders/>
            <w:vAlign w:val="center"/>
          </w:tcPr>
          <w:p>
            <w:pPr>
              <w:pStyle w:val="Normal"/>
              <w:widowControl/>
              <w:spacing w:lineRule="auto" w:line="276" w:before="0" w:after="57"/>
              <w:ind w:hanging="0" w:left="0"/>
              <w:jc w:val="left"/>
              <w:rPr>
                <w:color w:themeColor="text1" w:val="000000"/>
                <w:sz w:val="22"/>
                <w:szCs w:val="22"/>
              </w:rPr>
            </w:pPr>
            <w:r>
              <w:rPr>
                <w:rFonts w:eastAsia="Times New Roman" w:cs="Times New Roman"/>
                <w:color w:themeColor="text1" w:val="000000"/>
                <w:kern w:val="0"/>
                <w:sz w:val="22"/>
                <w:szCs w:val="22"/>
                <w:lang w:val="pt-BR" w:eastAsia="pt-BR" w:bidi="ar-SA"/>
              </w:rPr>
              <w:t>Responsável pela Edição:</w:t>
            </w:r>
            <w:r>
              <w:rPr>
                <w:rFonts w:eastAsia="Times New Roman" w:cs="Times New Roman"/>
                <w:color w:themeColor="text1" w:val="000000"/>
                <w:kern w:val="0"/>
                <w:sz w:val="24"/>
                <w:szCs w:val="24"/>
                <w:lang w:val="pt-BR" w:eastAsia="pt-BR" w:bidi="ar-SA"/>
              </w:rPr>
              <w:t xml:space="preserve"> </w:t>
            </w:r>
            <w:r>
              <w:rPr>
                <w:rFonts w:eastAsia="Times New Roman" w:cs="Times New Roman"/>
                <w:color w:themeColor="text1" w:val="000000"/>
                <w:kern w:val="0"/>
                <w:position w:val="-1"/>
                <w:sz w:val="22"/>
                <w:szCs w:val="22"/>
                <w:lang w:val="pt-BR" w:eastAsia="pt-BR" w:bidi="ar-SA"/>
              </w:rPr>
              <w:t>José de Carvalho Henriques Neto</w:t>
            </w:r>
          </w:p>
        </w:tc>
      </w:tr>
      <w:tr>
        <w:trPr/>
        <w:tc>
          <w:tcPr>
            <w:tcW w:w="15446" w:type="dxa"/>
            <w:tcBorders/>
            <w:vAlign w:val="center"/>
          </w:tcPr>
          <w:p>
            <w:pPr>
              <w:pStyle w:val="Normal"/>
              <w:widowControl/>
              <w:spacing w:lineRule="auto" w:line="276" w:before="0" w:after="57"/>
              <w:ind w:hanging="0" w:left="0"/>
              <w:jc w:val="left"/>
              <w:rPr>
                <w:color w:themeColor="text1" w:val="000000"/>
                <w:sz w:val="22"/>
                <w:szCs w:val="22"/>
              </w:rPr>
            </w:pPr>
            <w:r>
              <w:rPr>
                <w:rFonts w:eastAsia="Times New Roman" w:cs="Times New Roman"/>
                <w:color w:themeColor="text1" w:val="000000"/>
                <w:kern w:val="0"/>
                <w:sz w:val="22"/>
                <w:szCs w:val="22"/>
                <w:lang w:val="pt-BR" w:eastAsia="pt-BR" w:bidi="ar-SA"/>
              </w:rPr>
              <w:t xml:space="preserve">Data de Criação: </w:t>
            </w:r>
            <w:r>
              <w:rPr>
                <w:rFonts w:eastAsia="Times New Roman" w:cs="Times New Roman"/>
                <w:color w:themeColor="text1" w:val="000000"/>
                <w:kern w:val="0"/>
                <w:sz w:val="22"/>
                <w:szCs w:val="22"/>
                <w:lang w:val="pt-BR" w:eastAsia="pt-BR" w:bidi="ar-SA"/>
              </w:rPr>
              <w:t>19</w:t>
            </w:r>
            <w:r>
              <w:rPr>
                <w:rFonts w:eastAsia="Times New Roman" w:cs="Times New Roman"/>
                <w:color w:themeColor="text1" w:val="000000"/>
                <w:kern w:val="0"/>
                <w:sz w:val="22"/>
                <w:szCs w:val="22"/>
                <w:lang w:val="pt-BR" w:eastAsia="pt-BR" w:bidi="ar-SA"/>
              </w:rPr>
              <w:t xml:space="preserve"> de </w:t>
            </w:r>
            <w:r>
              <w:rPr>
                <w:rFonts w:eastAsia="Times New Roman" w:cs="Times New Roman"/>
                <w:color w:themeColor="text1" w:val="000000"/>
                <w:kern w:val="0"/>
                <w:sz w:val="22"/>
                <w:szCs w:val="22"/>
                <w:lang w:val="pt-BR" w:eastAsia="pt-BR" w:bidi="ar-SA"/>
              </w:rPr>
              <w:t xml:space="preserve">março </w:t>
            </w:r>
            <w:r>
              <w:rPr>
                <w:rFonts w:eastAsia="Times New Roman" w:cs="Times New Roman"/>
                <w:color w:themeColor="text1" w:val="000000"/>
                <w:kern w:val="0"/>
                <w:sz w:val="22"/>
                <w:szCs w:val="22"/>
                <w:lang w:val="pt-BR" w:eastAsia="pt-BR" w:bidi="ar-SA"/>
              </w:rPr>
              <w:t>de 2025</w:t>
            </w:r>
          </w:p>
        </w:tc>
      </w:tr>
      <w:tr>
        <w:trPr/>
        <w:tc>
          <w:tcPr>
            <w:tcW w:w="15446" w:type="dxa"/>
            <w:tcBorders/>
            <w:vAlign w:val="center"/>
          </w:tcPr>
          <w:p>
            <w:pPr>
              <w:pStyle w:val="Normal"/>
              <w:widowControl/>
              <w:spacing w:lineRule="auto" w:line="276" w:before="0" w:after="57"/>
              <w:ind w:hanging="0" w:left="0"/>
              <w:jc w:val="both"/>
              <w:rPr>
                <w:color w:themeColor="text1" w:val="000000"/>
                <w:sz w:val="22"/>
                <w:szCs w:val="22"/>
              </w:rPr>
            </w:pPr>
            <w:r>
              <w:rPr>
                <w:rFonts w:eastAsia="Times New Roman" w:cs="Times New Roman"/>
                <w:color w:themeColor="text1" w:val="000000"/>
                <w:kern w:val="0"/>
                <w:sz w:val="22"/>
                <w:szCs w:val="22"/>
                <w:lang w:val="pt-BR" w:eastAsia="pt-BR" w:bidi="ar-SA"/>
              </w:rPr>
              <w:t xml:space="preserve">Objeto da Matriz de Riscos: </w:t>
            </w:r>
            <w:r>
              <w:rPr>
                <w:rFonts w:eastAsia="Merriweather" w:cs="Times New Roman"/>
                <w:color w:themeColor="text1" w:val="000000"/>
                <w:kern w:val="0"/>
                <w:position w:val="-1"/>
                <w:sz w:val="22"/>
                <w:szCs w:val="22"/>
                <w:lang w:val="pt-BR" w:eastAsia="pt-BR" w:bidi="ar-SA"/>
              </w:rPr>
              <w:t>CONTRATAÇÃO DE PESSOA JURÍDICA PARA A AQUISIÇÃO DE TUBULAÇÃO PARA DRENAGEM DE LÍQUIDO PERCOLADO DO ATERRO SANITÁRIO DE BANDEIRANTES-PR</w:t>
            </w:r>
          </w:p>
        </w:tc>
      </w:tr>
    </w:tbl>
    <w:p>
      <w:pPr>
        <w:pStyle w:val="Normal"/>
        <w:spacing w:before="0" w:after="57"/>
        <w:ind w:hanging="2" w:left="0"/>
        <w:jc w:val="center"/>
        <w:rPr>
          <w:sz w:val="22"/>
          <w:szCs w:val="22"/>
        </w:rPr>
      </w:pPr>
      <w:r>
        <w:rPr>
          <w:sz w:val="22"/>
          <w:szCs w:val="22"/>
        </w:rPr>
      </w:r>
    </w:p>
    <w:tbl>
      <w:tblPr>
        <w:tblW w:w="15389"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523"/>
        <w:gridCol w:w="1359"/>
        <w:gridCol w:w="1943"/>
        <w:gridCol w:w="1222"/>
        <w:gridCol w:w="1656"/>
        <w:gridCol w:w="860"/>
        <w:gridCol w:w="2639"/>
        <w:gridCol w:w="1442"/>
        <w:gridCol w:w="2244"/>
        <w:gridCol w:w="1499"/>
      </w:tblGrid>
      <w:tr>
        <w:trPr>
          <w:trHeight w:val="240" w:hRule="atLeast"/>
        </w:trPr>
        <w:tc>
          <w:tcPr>
            <w:tcW w:w="5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ITEM</w:t>
            </w:r>
          </w:p>
        </w:tc>
        <w:tc>
          <w:tcPr>
            <w:tcW w:w="135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FASE</w:t>
            </w:r>
          </w:p>
        </w:tc>
        <w:tc>
          <w:tcPr>
            <w:tcW w:w="194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DESCRIÇÃO DO RISCO</w:t>
            </w:r>
          </w:p>
        </w:tc>
        <w:tc>
          <w:tcPr>
            <w:tcW w:w="1222" w:type="dxa"/>
            <w:tcBorders>
              <w:top w:val="single" w:sz="4" w:space="0" w:color="000000"/>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PROBALIDADE</w:t>
            </w:r>
          </w:p>
        </w:tc>
        <w:tc>
          <w:tcPr>
            <w:tcW w:w="1656"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DANO</w:t>
            </w:r>
          </w:p>
        </w:tc>
        <w:tc>
          <w:tcPr>
            <w:tcW w:w="860" w:type="dxa"/>
            <w:tcBorders>
              <w:top w:val="single" w:sz="4" w:space="0" w:color="000000"/>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IMPACTO</w:t>
            </w:r>
          </w:p>
        </w:tc>
        <w:tc>
          <w:tcPr>
            <w:tcW w:w="263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AÇÃO PREVENTIVA</w:t>
            </w:r>
          </w:p>
        </w:tc>
        <w:tc>
          <w:tcPr>
            <w:tcW w:w="1442"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RESPONSAVEL</w:t>
            </w:r>
          </w:p>
        </w:tc>
        <w:tc>
          <w:tcPr>
            <w:tcW w:w="224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AÇÃO DE CONTIGENCIA</w:t>
            </w:r>
          </w:p>
        </w:tc>
        <w:tc>
          <w:tcPr>
            <w:tcW w:w="149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RESPONSAVEL</w:t>
            </w:r>
          </w:p>
        </w:tc>
      </w:tr>
      <w:tr>
        <w:trPr>
          <w:trHeight w:val="216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1</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Não formalização da oficialização da demanda</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AUTORIDADE COMPETENTE</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 alta administração da contratação deverá oficiar ao requisitante, para que este proceda ao preenchimento do documento padronizado de Documento de Formalização da Demanda (DFD) orientando quanto à necessidade que este contenha informações claras sobre qual a necessidade da contratação em termos de negócio e identifique precisamente o ator que declarou esta necessidade.</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AUTORIDADE COMPETENTE</w:t>
            </w:r>
          </w:p>
        </w:tc>
      </w:tr>
      <w:tr>
        <w:trPr>
          <w:trHeight w:val="216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2</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Oficialização da demanda não efetuada pelo requisitante</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Requisitante deve ser a autora do Documento de Formalização da Demanda (DFD); Identificar corretamente os setores responsáveis; Verificar corretamente a demanda. Envolver os setores na instrução inicial do processo, solicitando ratificação ou retificação dos objetos.</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AUTORIDADE COMPETENTE</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AUTORIDADE COMPETENTE</w:t>
            </w:r>
          </w:p>
        </w:tc>
      </w:tr>
      <w:tr>
        <w:trPr>
          <w:trHeight w:val="216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3</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Seleção de equipe inadequada para o planejamento da contratação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Realizar estudo falho, incompleto ou impreciso, podendo ocasionar prejuízos na contratação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MUITO 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REQUISITANTE DA DEMANDA</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AUTORIDADE COMPETENTE; EQUIPE DE PLANEJAMENTO</w:t>
            </w:r>
          </w:p>
        </w:tc>
      </w:tr>
      <w:tr>
        <w:trPr>
          <w:trHeight w:val="288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4</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Designação de servidores sem capacidade técnica para desempenho da atividade de fiscalização contratual</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Realizar estudo falho, incompleto ou impreciso, podendo ocasionar prejuízos na contratação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MUITO 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Designar fiscal com conhecimentos suficientes para os estudos em tempo hábil para que não haja prejuízos durante a fase de planejamento e demais fase executórias da licitação.</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REQUISITANTE DA DEMANDA</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fiscal que demonstre não ter conhecimento técnico.</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REQUISITANTE DA DEMANDA; EQUIPE DE PLANEJAMENTO</w:t>
            </w:r>
          </w:p>
        </w:tc>
      </w:tr>
      <w:tr>
        <w:trPr>
          <w:trHeight w:val="96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5</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Contratações desalinhadas com o plano de contratação anual</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Descumprimento de formalidade legal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Deve-se justificar no ETP a ausência da previsão no PAC da solução e proceder à compatibilização do Plano Anual de Contratações Vigente</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Revisar o ETP, mediante justificativa e submeter posterior aprovação da autoridade competente.</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r>
      <w:tr>
        <w:trPr>
          <w:trHeight w:val="288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6</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Definição de requisitos da contratação insuficientes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Equipe de planejamento somente inicia elaboração do termo de referência ou projeto básico após a aprovação dos estudos técnicos preliminares.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r>
      <w:tr>
        <w:trPr>
          <w:trHeight w:val="1169"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7</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Quantidades e especificações indevidas ou incorretas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Contratação e execução deficiente do objeto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MUITO 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Verificar se o objeto foi especificado adequadamente, contemplando as áreas internas e externas corretamente</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Complementação das informações nos Estudos Preliminares e correção da inconsistência durante a elaboração do Termo de Referência</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 REQUISITANTE DA DEMANDA</w:t>
            </w:r>
          </w:p>
        </w:tc>
      </w:tr>
      <w:tr>
        <w:trPr>
          <w:trHeight w:val="144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8</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Pesquisa de mercado insuficiente ou com problemas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Não atendimento ao princípio da economicidade. Contrato sobre precificado ou inexequível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MUITO 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Acompanhar as normas e legislação vigentes aplicáveis à pesquisa de mercado, realizar pesquisa de preço, utilizar variadas fontes de preços e manter a pesquisa de mercado atualizada.</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Realizar ou revalidar a pesquisa de mercado; Refazer e revalidar a pesquisa de mercado, sempre com um olhar crítico sobre a pesquisa anterior para não repetir os erros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r>
      <w:tr>
        <w:trPr>
          <w:trHeight w:val="7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9</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Ausência de ato designatório da equipe de Planejamento de Contratação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Descumprimento de formalidade legal.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BAIXO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Adotar checklist dos procedimentos a serem adotados para o planejamento de contratação</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AUTORIDADE COMPETENTE</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Providenciar o ato de designação formal da equipe de planejamento</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AUTORIDADE COMPETENTE</w:t>
            </w:r>
          </w:p>
        </w:tc>
      </w:tr>
      <w:tr>
        <w:trPr>
          <w:trHeight w:val="7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themeColor="text1" w:val="000000"/>
                <w:sz w:val="18"/>
                <w:szCs w:val="18"/>
              </w:rPr>
            </w:pPr>
            <w:r>
              <w:rPr>
                <w:rFonts w:ascii="Calibri" w:hAnsi="Calibri"/>
                <w:color w:themeColor="text1" w:val="000000"/>
                <w:sz w:val="18"/>
                <w:szCs w:val="18"/>
              </w:rPr>
              <w:t>10</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Estudos preliminares deficientes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Licitação fracassada, deserta ou contratação deficiente, gastos com processo licitatório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Elaborar checklist que contemple, no que couber, os requisitos do</w:t>
            </w:r>
            <w:r>
              <w:rPr>
                <w:rFonts w:ascii="Calibri" w:hAnsi="Calibri"/>
                <w:b/>
                <w:bCs/>
                <w:color w:themeColor="text1" w:val="000000"/>
                <w:sz w:val="18"/>
                <w:szCs w:val="18"/>
              </w:rPr>
              <w:t xml:space="preserve"> Decreto 3.537/2023</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Corrigir as deficiências detectadas nos estudos preliminares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EQUIPE DE PLANEJAMENTO</w:t>
            </w:r>
          </w:p>
        </w:tc>
      </w:tr>
      <w:tr>
        <w:trPr>
          <w:trHeight w:val="7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11</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Indisponibilidade de recursos orçamentários e/ou financeiros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Ineficiente</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Diálogo prévio e gestão com vistas ao provimento dos recursos necessários a contratação.</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 REQUISITANTE DA DEMANDA; AUTORIDADE COMPETENTE</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Realizar planejamento orçamentário a fim de consumar a aquisição da solução pretendida.</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AUTORIDADE COMPETENTE</w:t>
            </w:r>
          </w:p>
        </w:tc>
      </w:tr>
      <w:tr>
        <w:trPr>
          <w:trHeight w:val="7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12</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Ausência de justificativa de cotas para ME/EPP E COOPERATIVAS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Descumprimento de formalidade legal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Incluir em ETP tópico especifico para tratar do tema</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Reforçar da necessidade de atribuir tratamento benéfico às microempresas e empresas de pequeno porte.</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r>
      <w:tr>
        <w:trPr>
          <w:trHeight w:val="144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13</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Baixa prioridade nas aquisições e contratações sustentáveis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Ausência de aferição de critérios de sustentabilidade ambiental e qualificação energética nos processos licitatórios.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Criação da Comissão de Gestão Socioambiental, a fim de elaborar Plano de Logística Sustentável.</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 REQUISITANTE DA DEMANDA; AUTORIDADE COMPETENTE</w:t>
            </w:r>
          </w:p>
        </w:tc>
      </w:tr>
      <w:tr>
        <w:trPr>
          <w:trHeight w:val="7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themeColor="text1" w:val="000000"/>
                <w:sz w:val="18"/>
                <w:szCs w:val="18"/>
              </w:rPr>
            </w:pPr>
            <w:r>
              <w:rPr>
                <w:rFonts w:ascii="Calibri" w:hAnsi="Calibri"/>
                <w:color w:themeColor="text1" w:val="000000"/>
                <w:sz w:val="18"/>
                <w:szCs w:val="18"/>
              </w:rPr>
              <w:t>14</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Falha na elaboração do termo de referência</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Licitação fracassada, deserta ou contratação deficiente, gastos com processo licitatório ineficiente</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Elaborar checklist que contemple, no que couber, os requisitos do Decreto 3.537/2023</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Revisão do termo de referência com inclusão das instruções ausentes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EQUIPE DE PLANEJAMENTO</w:t>
            </w:r>
          </w:p>
        </w:tc>
      </w:tr>
      <w:tr>
        <w:trPr>
          <w:trHeight w:val="7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15</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Ausência de aprovação do termo de referência</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Atraso na contratação do objeto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Adoção de checklist com item de aprovação do TR pela autoridade competente.</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Encaminhar à autoridade competente o processo para aprovação do Termo de Referência</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EQUIPE DE PLANEJAMENTO; REQUISITANTE DA DEMANDA; AUTORIDADE COMPETENTE</w:t>
            </w:r>
          </w:p>
        </w:tc>
      </w:tr>
      <w:tr>
        <w:trPr>
          <w:trHeight w:val="31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16</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sz w:val="18"/>
                <w:szCs w:val="18"/>
              </w:rPr>
            </w:pPr>
            <w:r>
              <w:rPr>
                <w:rFonts w:ascii="Calibri" w:hAnsi="Calibri"/>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sz w:val="18"/>
                <w:szCs w:val="18"/>
              </w:rPr>
            </w:pPr>
            <w:r>
              <w:rPr>
                <w:rFonts w:ascii="Calibri" w:hAnsi="Calibri"/>
                <w:sz w:val="18"/>
                <w:szCs w:val="18"/>
              </w:rPr>
              <w:t>Precificação:  - Dificuldade de estimar os custos devido ao ineditismo do objeto. - Estimativa insuficiente ou excessiva do custo do projeto.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sz w:val="18"/>
                <w:szCs w:val="18"/>
              </w:rPr>
            </w:pPr>
            <w:r>
              <w:rPr>
                <w:rFonts w:ascii="Calibri" w:hAnsi="Calibri"/>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sz w:val="18"/>
                <w:szCs w:val="18"/>
              </w:rPr>
            </w:pPr>
            <w:r>
              <w:rPr>
                <w:rFonts w:ascii="Calibri" w:hAnsi="Calibri"/>
                <w:sz w:val="18"/>
                <w:szCs w:val="18"/>
              </w:rPr>
              <w:t>Não atrair os potenciais fornecedores com maiores chances de sucesso.  - Não escolher os fornecedores com maior potencial de sucesso, por não serem os de menor custo.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sz w:val="18"/>
                <w:szCs w:val="18"/>
              </w:rPr>
            </w:pPr>
            <w:r>
              <w:rPr/>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sz w:val="18"/>
                <w:szCs w:val="18"/>
              </w:rPr>
            </w:pPr>
            <w:r>
              <w:rPr>
                <w:rFonts w:ascii="Calibri" w:hAnsi="Calibri"/>
                <w:sz w:val="18"/>
                <w:szCs w:val="18"/>
              </w:rPr>
              <w:t>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sz w:val="18"/>
                <w:szCs w:val="18"/>
              </w:rPr>
            </w:pPr>
            <w:r>
              <w:rPr>
                <w:rFonts w:ascii="Calibri" w:hAnsi="Calibri"/>
                <w:sz w:val="18"/>
                <w:szCs w:val="18"/>
              </w:rPr>
              <w:t>EQUIPE DE PLANEJAMENTO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sz w:val="18"/>
                <w:szCs w:val="18"/>
              </w:rPr>
            </w:pPr>
            <w:r>
              <w:rPr>
                <w:rFonts w:ascii="Calibri" w:hAnsi="Calibri"/>
                <w:sz w:val="18"/>
                <w:szCs w:val="18"/>
              </w:rPr>
              <w:t>Corrigir as deficiências detectadas nos estudos preliminares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sz w:val="18"/>
                <w:szCs w:val="18"/>
              </w:rPr>
            </w:pPr>
            <w:r>
              <w:rPr>
                <w:rFonts w:ascii="Calibri" w:hAnsi="Calibri"/>
                <w:sz w:val="18"/>
                <w:szCs w:val="18"/>
              </w:rPr>
              <w:t>EQUIPE DE PLANEJAMENTO; REQUISITANTE DA DEMANDA; AUTORIDADE COMPETENTE</w:t>
            </w:r>
          </w:p>
        </w:tc>
      </w:tr>
      <w:tr>
        <w:trPr>
          <w:trHeight w:val="96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17</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Restrição da competitividade, impugnação do edital</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Atraso ou anulação da licitação. Custos para a Administração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Submissão do processo a análise da Procuradoria Jurídica. Verificar a existência de cláusulas nulas e ou restritivas</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COMISSÃO DE LICITAÇÃO/ PREGOEIRO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Readequação do edital com retirada de cláusulas nulas e ou restritivas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COMISSÃO DE LICITAÇÃO/PREGOEIRO</w:t>
            </w:r>
          </w:p>
        </w:tc>
      </w:tr>
      <w:tr>
        <w:trPr>
          <w:trHeight w:val="7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18</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Ausência de publicação do edital</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Anulação dos atos praticados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Adoção de checklist contemplando o item "publicação/divulgação do edital".</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COMISSÃO DE LICITAÇÃO/ PREGOEIRO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Providenciar a publicação e reiniciar a contagem do prazo de apresentação da proposta.</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COMISSÃO DE LICITAÇÃO/PREGOEIRO</w:t>
            </w:r>
          </w:p>
        </w:tc>
      </w:tr>
      <w:tr>
        <w:trPr>
          <w:trHeight w:val="7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19</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PLANEJAMENTO DA CONTRATAÇÃO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Paralisação da licitação por medida judicial ou intervenção de órgão de controle</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sz w:val="18"/>
                <w:szCs w:val="18"/>
              </w:rPr>
            </w:pPr>
            <w:r>
              <w:rPr>
                <w:rFonts w:ascii="Calibri" w:hAnsi="Calibri"/>
                <w:sz w:val="18"/>
                <w:szCs w:val="18"/>
              </w:rPr>
              <w:t>Atraso na contratação da obra e ou execução de serviço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Adotar procedimentos de controle</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DEPARTAMENTO DE LICITAÇÃO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Atuar com celeridade nas respostas aos questionamentos efetuados; Acatar as solicitações dos órgãos de controle</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DEPARTAMENTO DE LICITAÇÃO</w:t>
            </w:r>
          </w:p>
        </w:tc>
      </w:tr>
      <w:tr>
        <w:trPr>
          <w:trHeight w:val="96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20</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GESTÃO DE CONTRATO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Não assinatura do contrato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Atraso na contratação dos serviços. Custos para a Administração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Verificação na fase de habilitação certame que o fornecedor reúne todos os requisitos de habilitação exigidos em edital</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COMISSÃO DE LICITAÇÃO/PREGOEIRO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Reabertura do certame e volta de fases na licitação para convocação do fornecedor mais bem classificado.</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COMISSÃO DE LICITAÇÃO/PREGOEIRO</w:t>
            </w:r>
          </w:p>
        </w:tc>
      </w:tr>
      <w:tr>
        <w:trPr>
          <w:trHeight w:val="48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val="000000"/>
                <w:sz w:val="18"/>
                <w:szCs w:val="18"/>
              </w:rPr>
            </w:pPr>
            <w:r>
              <w:rPr>
                <w:rFonts w:ascii="Calibri" w:hAnsi="Calibri"/>
                <w:color w:val="000000"/>
                <w:sz w:val="18"/>
                <w:szCs w:val="18"/>
              </w:rPr>
              <w:t>21</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GESTÃO DE CONTRATO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Falta de publicidade do ato administrativo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Descumprimento de formalidade legal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val="000000"/>
                <w:sz w:val="18"/>
                <w:szCs w:val="18"/>
              </w:rPr>
            </w:pPr>
            <w:r>
              <w:rPr>
                <w:rFonts w:ascii="Calibri" w:hAnsi="Calibri"/>
                <w:b/>
                <w:bCs/>
                <w:color w:val="000000"/>
                <w:sz w:val="18"/>
                <w:szCs w:val="18"/>
              </w:rPr>
              <w:t>BAIXO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Adoção de checklist contemplando o item "publicação do contrato".</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DEPARTAMENTO DE LICITAÇÃO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val="000000"/>
                <w:sz w:val="18"/>
                <w:szCs w:val="18"/>
              </w:rPr>
            </w:pPr>
            <w:r>
              <w:rPr>
                <w:rFonts w:ascii="Calibri" w:hAnsi="Calibri"/>
                <w:color w:val="000000"/>
                <w:sz w:val="18"/>
                <w:szCs w:val="18"/>
              </w:rPr>
              <w:t>Publicar o contrato tão logo seja detectado a ausência de publicidade</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val="000000"/>
                <w:sz w:val="18"/>
                <w:szCs w:val="18"/>
              </w:rPr>
            </w:pPr>
            <w:r>
              <w:rPr>
                <w:rFonts w:ascii="Calibri" w:hAnsi="Calibri"/>
                <w:color w:val="000000"/>
                <w:sz w:val="18"/>
                <w:szCs w:val="18"/>
              </w:rPr>
              <w:t>DEPARTAMENTO DE LICITAÇÃO</w:t>
            </w:r>
          </w:p>
        </w:tc>
      </w:tr>
      <w:tr>
        <w:trPr>
          <w:trHeight w:val="120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themeColor="text1" w:val="000000"/>
                <w:sz w:val="18"/>
                <w:szCs w:val="18"/>
              </w:rPr>
            </w:pPr>
            <w:r>
              <w:rPr>
                <w:rFonts w:ascii="Calibri" w:hAnsi="Calibri"/>
                <w:color w:themeColor="text1" w:val="000000"/>
                <w:sz w:val="18"/>
                <w:szCs w:val="18"/>
              </w:rPr>
              <w:t>22</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GESTÃO DE CONTRATO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Execução de serviços não previstos no contrato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Identificação de serviços adicionais após o início execução de serviços; Custos não previstos; Atrasos nas etapas de execução de serviços e entrega do bem.</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Adotar procedimentos de controle</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GESTOR DE CONTRATO/ FISCAL DE CONTRATO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Monitoramento e controle da execução dos serviços; Aprovação apenas de itens imprescindíveis à consecução do objeto</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GESTOR DE CONTRATO/FISCAL DE CONTRATO</w:t>
            </w:r>
          </w:p>
        </w:tc>
      </w:tr>
      <w:tr>
        <w:trPr>
          <w:trHeight w:val="48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themeColor="text1" w:val="000000"/>
                <w:sz w:val="18"/>
                <w:szCs w:val="18"/>
              </w:rPr>
            </w:pPr>
            <w:r>
              <w:rPr>
                <w:rFonts w:ascii="Calibri" w:hAnsi="Calibri"/>
                <w:color w:themeColor="text1" w:val="000000"/>
                <w:sz w:val="18"/>
                <w:szCs w:val="18"/>
              </w:rPr>
              <w:t>23</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GESTÃO DE CONTRATO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Prorrogação de prazo injustificada</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Atraso na execução dos serviços;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Adotar procedimentos de controle</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GESTOR DE CONTRATO/FISCAL DE CONTRATO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Apresentar justificativa fundamentada; Imputar penalidades contratuais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GESTOR DE CONTRATO/FISCAL DE CONTRATO</w:t>
            </w:r>
          </w:p>
        </w:tc>
      </w:tr>
      <w:tr>
        <w:trPr>
          <w:trHeight w:val="360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themeColor="text1" w:val="000000"/>
                <w:sz w:val="18"/>
                <w:szCs w:val="18"/>
              </w:rPr>
            </w:pPr>
            <w:r>
              <w:rPr>
                <w:rFonts w:ascii="Calibri" w:hAnsi="Calibri"/>
                <w:color w:themeColor="text1" w:val="000000"/>
                <w:sz w:val="18"/>
                <w:szCs w:val="18"/>
              </w:rPr>
              <w:t>24</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GESTÃO DE CONTRATO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econômico/financeiro.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Atraso na contratação dos serviços. Custos para a Administração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Adotar procedimentos de controle</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COMISSÃO DE LICITAÇÃO/PREGOEIRO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Na elaboração do edital prever clausulas que respaldem a administração para eventual extinção anormal do contrato. Exigir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DEPARTAMENTO DE LICITAÇÃO</w:t>
            </w:r>
          </w:p>
        </w:tc>
      </w:tr>
      <w:tr>
        <w:trPr>
          <w:trHeight w:val="720" w:hRule="atLeast"/>
        </w:trPr>
        <w:tc>
          <w:tcPr>
            <w:tcW w:w="523"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rFonts w:ascii="Calibri" w:hAnsi="Calibri"/>
                <w:color w:themeColor="text1" w:val="000000"/>
                <w:sz w:val="18"/>
                <w:szCs w:val="18"/>
              </w:rPr>
            </w:pPr>
            <w:r>
              <w:rPr>
                <w:rFonts w:ascii="Calibri" w:hAnsi="Calibri"/>
                <w:color w:themeColor="text1" w:val="000000"/>
                <w:sz w:val="18"/>
                <w:szCs w:val="18"/>
              </w:rPr>
              <w:t>25</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GESTÃO DE CONTRATO</w:t>
            </w:r>
          </w:p>
        </w:tc>
        <w:tc>
          <w:tcPr>
            <w:tcW w:w="19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Não execução ou má execução do serviço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Fonts w:ascii="Calibri" w:hAnsi="Calibri"/>
                <w:b/>
                <w:bCs/>
                <w:color w:themeColor="text1" w:val="000000"/>
                <w:sz w:val="18"/>
                <w:szCs w:val="18"/>
              </w:rPr>
              <w:t>POUCO PROVAVEL</w:t>
            </w:r>
          </w:p>
        </w:tc>
        <w:tc>
          <w:tcPr>
            <w:tcW w:w="1656"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 xml:space="preserve"> </w:t>
            </w:r>
            <w:r>
              <w:rPr>
                <w:rFonts w:ascii="Calibri" w:hAnsi="Calibri"/>
                <w:color w:themeColor="text1" w:val="000000"/>
                <w:sz w:val="18"/>
                <w:szCs w:val="18"/>
              </w:rPr>
              <w:t>Impactará a continuidade e funcionamento do serviço publico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rFonts w:ascii="Calibri" w:hAnsi="Calibri"/>
                <w:b/>
                <w:bCs/>
                <w:color w:themeColor="text1" w:val="000000"/>
                <w:sz w:val="18"/>
                <w:szCs w:val="18"/>
              </w:rPr>
            </w:pPr>
            <w:r>
              <w:rPr/>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Na execução do ETP e do Termo de Referência dotar procedimentos de controle de seleção de fornecedor.</w:t>
            </w:r>
          </w:p>
        </w:tc>
        <w:tc>
          <w:tcPr>
            <w:tcW w:w="1442"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GESTOR DE CONTRATO/FISCAL DE CONTRATO</w:t>
            </w:r>
          </w:p>
        </w:tc>
        <w:tc>
          <w:tcPr>
            <w:tcW w:w="22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rFonts w:ascii="Calibri" w:hAnsi="Calibri"/>
                <w:color w:themeColor="text1" w:val="000000"/>
                <w:sz w:val="18"/>
                <w:szCs w:val="18"/>
              </w:rPr>
            </w:pPr>
            <w:r>
              <w:rPr>
                <w:rFonts w:ascii="Calibri" w:hAnsi="Calibri"/>
                <w:color w:themeColor="text1" w:val="000000"/>
                <w:sz w:val="18"/>
                <w:szCs w:val="18"/>
              </w:rPr>
              <w:t>Exigir no contrato alguma garantia, prazos e/ou sanções de acordo com legislação vigente.</w:t>
            </w:r>
          </w:p>
        </w:tc>
        <w:tc>
          <w:tcPr>
            <w:tcW w:w="149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rFonts w:ascii="Calibri" w:hAnsi="Calibri"/>
                <w:color w:themeColor="text1" w:val="000000"/>
                <w:sz w:val="18"/>
                <w:szCs w:val="18"/>
              </w:rPr>
            </w:pPr>
            <w:r>
              <w:rPr>
                <w:rFonts w:ascii="Calibri" w:hAnsi="Calibri"/>
                <w:color w:themeColor="text1" w:val="000000"/>
                <w:sz w:val="18"/>
                <w:szCs w:val="18"/>
              </w:rPr>
              <w:t>GESTOR DE CONTRATO/FISCAL DE CONTRATO</w:t>
            </w:r>
          </w:p>
        </w:tc>
      </w:tr>
    </w:tbl>
    <w:p>
      <w:pPr>
        <w:pStyle w:val="Normal"/>
        <w:ind w:hanging="3" w:left="1"/>
        <w:jc w:val="center"/>
        <w:rPr>
          <w:rFonts w:eastAsia="Merriweather"/>
          <w:b/>
          <w:sz w:val="28"/>
          <w:szCs w:val="28"/>
        </w:rPr>
      </w:pPr>
      <w:r>
        <w:rPr>
          <w:rFonts w:eastAsia="Merriweather"/>
          <w:b/>
          <w:sz w:val="28"/>
          <w:szCs w:val="28"/>
        </w:rPr>
      </w:r>
    </w:p>
    <w:p>
      <w:pPr>
        <w:pStyle w:val="Normal"/>
        <w:ind w:hanging="2" w:left="0"/>
        <w:jc w:val="center"/>
        <w:rPr>
          <w:rFonts w:ascii="Cambria Math" w:hAnsi="Cambria Math"/>
          <w:sz w:val="22"/>
          <w:szCs w:val="22"/>
        </w:rPr>
      </w:pPr>
      <w:r>
        <w:rPr>
          <w:rFonts w:ascii="Cambria Math" w:hAnsi="Cambria Math"/>
          <w:sz w:val="22"/>
          <w:szCs w:val="22"/>
        </w:rPr>
        <w:t xml:space="preserve">                                                                                                                                                                               </w:t>
      </w:r>
    </w:p>
    <w:p>
      <w:pPr>
        <w:pStyle w:val="Normal"/>
        <w:ind w:hanging="2" w:left="0"/>
        <w:jc w:val="center"/>
        <w:rPr>
          <w:rFonts w:ascii="Cambria Math" w:hAnsi="Cambria Math"/>
          <w:sz w:val="22"/>
          <w:szCs w:val="22"/>
        </w:rPr>
      </w:pPr>
      <w:r>
        <w:rPr>
          <w:rFonts w:ascii="Cambria Math" w:hAnsi="Cambria Math"/>
          <w:sz w:val="22"/>
          <w:szCs w:val="22"/>
        </w:rPr>
      </w:r>
    </w:p>
    <w:p>
      <w:pPr>
        <w:pStyle w:val="Normal"/>
        <w:ind w:hanging="2" w:left="0"/>
        <w:jc w:val="center"/>
        <w:rPr>
          <w:rFonts w:ascii="Cambria Math" w:hAnsi="Cambria Math"/>
          <w:sz w:val="22"/>
          <w:szCs w:val="22"/>
        </w:rPr>
      </w:pPr>
      <w:r>
        <w:rPr>
          <w:rFonts w:ascii="Cambria Math" w:hAnsi="Cambria Math"/>
          <w:sz w:val="22"/>
          <w:szCs w:val="22"/>
        </w:rPr>
      </w:r>
    </w:p>
    <w:p>
      <w:pPr>
        <w:pStyle w:val="Normal"/>
        <w:ind w:hanging="2" w:left="0"/>
        <w:jc w:val="center"/>
        <w:rPr>
          <w:rFonts w:ascii="Cambria Math" w:hAnsi="Cambria Math"/>
          <w:sz w:val="22"/>
          <w:szCs w:val="22"/>
        </w:rPr>
      </w:pPr>
      <w:r>
        <w:rPr>
          <w:rFonts w:ascii="Cambria Math" w:hAnsi="Cambria Math"/>
          <w:sz w:val="22"/>
          <w:szCs w:val="22"/>
        </w:rPr>
      </w:r>
    </w:p>
    <w:p>
      <w:pPr>
        <w:pStyle w:val="Normal"/>
        <w:ind w:hanging="2" w:left="0"/>
        <w:jc w:val="center"/>
        <w:rPr>
          <w:rFonts w:ascii="Cambria Math" w:hAnsi="Cambria Math"/>
          <w:sz w:val="22"/>
          <w:szCs w:val="22"/>
        </w:rPr>
      </w:pPr>
      <w:r>
        <w:rPr>
          <w:rFonts w:ascii="Cambria Math" w:hAnsi="Cambria Math"/>
          <w:sz w:val="22"/>
          <w:szCs w:val="22"/>
        </w:rPr>
        <w:t xml:space="preserve">_____________________________________________                                                                                                                                                               </w:t>
      </w:r>
    </w:p>
    <w:p>
      <w:pPr>
        <w:pStyle w:val="Normal"/>
        <w:widowControl/>
        <w:spacing w:lineRule="auto" w:line="276" w:before="0" w:after="57"/>
        <w:ind w:hanging="0" w:left="0"/>
        <w:jc w:val="center"/>
        <w:rPr>
          <w:color w:themeColor="text1" w:val="000000"/>
          <w:sz w:val="22"/>
          <w:szCs w:val="22"/>
        </w:rPr>
      </w:pPr>
      <w:r>
        <w:rPr>
          <w:rFonts w:eastAsia="Merriweather" w:cs="Times New Roman"/>
          <w:b/>
          <w:color w:themeColor="text1" w:val="000000"/>
          <w:kern w:val="0"/>
          <w:position w:val="-1"/>
          <w:sz w:val="22"/>
          <w:szCs w:val="22"/>
          <w:lang w:val="pt-BR" w:eastAsia="pt-BR" w:bidi="ar-SA"/>
        </w:rPr>
        <w:t>José de Carvalho Henriques Neto</w:t>
      </w:r>
    </w:p>
    <w:p>
      <w:pPr>
        <w:pStyle w:val="Normal"/>
        <w:ind w:hanging="2" w:left="0"/>
        <w:jc w:val="center"/>
        <w:rPr>
          <w:rFonts w:eastAsia="SimSun"/>
          <w:kern w:val="2"/>
          <w:sz w:val="22"/>
          <w:szCs w:val="22"/>
          <w:lang w:eastAsia="zh-CN" w:bidi="hi-IN"/>
        </w:rPr>
      </w:pPr>
      <w:r>
        <w:rPr>
          <w:rFonts w:eastAsia="SimSun"/>
          <w:kern w:val="2"/>
          <w:sz w:val="22"/>
          <w:szCs w:val="22"/>
          <w:lang w:eastAsia="zh-CN" w:bidi="hi-IN"/>
        </w:rPr>
        <w:t>Secretário de Meio Ambiente e Recursos Hídricos</w:t>
      </w:r>
    </w:p>
    <w:p>
      <w:pPr>
        <w:pStyle w:val="Normal"/>
        <w:ind w:hanging="2" w:left="0"/>
        <w:jc w:val="center"/>
        <w:rPr>
          <w:rFonts w:ascii="Cambria Math" w:hAnsi="Cambria Math"/>
          <w:sz w:val="20"/>
        </w:rPr>
      </w:pPr>
      <w:r>
        <w:rPr>
          <w:rFonts w:ascii="Cambria Math" w:hAnsi="Cambria Math"/>
          <w:sz w:val="20"/>
        </w:rPr>
      </w:r>
    </w:p>
    <w:sectPr>
      <w:headerReference w:type="even" r:id="rId2"/>
      <w:headerReference w:type="default" r:id="rId3"/>
      <w:headerReference w:type="first" r:id="rId4"/>
      <w:footerReference w:type="even" r:id="rId5"/>
      <w:footerReference w:type="default" r:id="rId6"/>
      <w:footerReference w:type="first" r:id="rId7"/>
      <w:type w:val="nextPage"/>
      <w:pgSz w:orient="landscape" w:w="16838" w:h="11906"/>
      <w:pgMar w:left="720" w:right="720" w:gutter="0" w:header="720" w:top="777" w:footer="720" w:bottom="777"/>
      <w:pgNumType w:start="1"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swiss"/>
    <w:pitch w:val="variable"/>
  </w:font>
  <w:font w:name="Segoe UI">
    <w:charset w:val="00"/>
    <w:family w:val="swiss"/>
    <w:pitch w:val="variable"/>
  </w:font>
  <w:font w:name="Liberation Sans">
    <w:altName w:val="Arial"/>
    <w:charset w:val="00"/>
    <w:family w:val="swiss"/>
    <w:pitch w:val="variable"/>
  </w:font>
  <w:font w:name="Nyala">
    <w:charset w:val="00"/>
    <w:family w:val="auto"/>
    <w:pitch w:val="variable"/>
  </w:font>
  <w:font w:name="Georgia">
    <w:charset w:val="00"/>
    <w:family w:val="roman"/>
    <w:pitch w:val="variable"/>
  </w:font>
  <w:font w:name="Calibri">
    <w:charset w:val="00"/>
    <w:family w:val="swiss"/>
    <w:pitch w:val="variable"/>
  </w:font>
  <w:font w:name="Cambria Math">
    <w:charset w:val="00"/>
    <w:family w:val="roman"/>
    <w:pitch w:val="variable"/>
  </w:font>
  <w:font w:name="Algerian">
    <w:altName w:val="comic"/>
    <w:charset w:val="00"/>
    <w:family w:val="auto"/>
    <w:pitch w:val="variable"/>
  </w:font>
  <w:font w:name="BankGothic Lt BT">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BankGothic Lt BT" w:hAnsi="BankGothic Lt BT"/>
        <w:sz w:val="14"/>
        <w:szCs w:val="14"/>
      </w:rPr>
    </w:pPr>
    <w:r>
      <w:rPr>
        <w:rFonts w:ascii="BankGothic Lt BT" w:hAnsi="BankGothic Lt BT"/>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BankGothic Lt BT" w:hAnsi="BankGothic Lt BT"/>
        <w:sz w:val="14"/>
        <w:szCs w:val="14"/>
      </w:rPr>
    </w:pPr>
    <w:r>
      <w:rPr>
        <w:rFonts w:ascii="BankGothic Lt BT" w:hAnsi="BankGothic Lt BT"/>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8">
          <wp:simplePos x="0" y="0"/>
          <wp:positionH relativeFrom="column">
            <wp:posOffset>1824355</wp:posOffset>
          </wp:positionH>
          <wp:positionV relativeFrom="paragraph">
            <wp:posOffset>-219710</wp:posOffset>
          </wp:positionV>
          <wp:extent cx="1003300" cy="1193800"/>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0" distL="635" distR="0" simplePos="0" locked="0" layoutInCell="1" allowOverlap="1" relativeHeight="21" wp14:anchorId="1A8E4D00">
              <wp:simplePos x="0" y="0"/>
              <wp:positionH relativeFrom="column">
                <wp:posOffset>2724150</wp:posOffset>
              </wp:positionH>
              <wp:positionV relativeFrom="paragraph">
                <wp:posOffset>-103505</wp:posOffset>
              </wp:positionV>
              <wp:extent cx="5145405" cy="1078230"/>
              <wp:effectExtent l="635" t="0" r="0" b="0"/>
              <wp:wrapNone/>
              <wp:docPr id="2" name="Retângulo 3"/>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fillRef idx="0"/>
                      <a:effectRef idx="0"/>
                      <a:fontRef idx="minor"/>
                    </wps:style>
                    <wps:txbx>
                      <w:txbxContent>
                        <w:p>
                          <w:pPr>
                            <w:pStyle w:val="Contedodoquadrouser"/>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user"/>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spacing w:lineRule="auto" w:line="240"/>
                            <w:ind w:hanging="2" w:left="0"/>
                            <w:rPr>
                              <w:color w:val="000000"/>
                            </w:rPr>
                          </w:pPr>
                          <w:r>
                            <w:rPr>
                              <w:color w:val="000000"/>
                            </w:rPr>
                          </w:r>
                        </w:p>
                      </w:txbxContent>
                    </wps:txbx>
                    <wps:bodyPr anchor="t" upright="1">
                      <a:noAutofit/>
                    </wps:bodyPr>
                  </wps:wsp>
                </a:graphicData>
              </a:graphic>
            </wp:anchor>
          </w:drawing>
        </mc:Choice>
        <mc:Fallback>
          <w:pict>
            <v:rect id="shape_0" ID="Retângulo 3" path="m0,0l-2147483645,0l-2147483645,-2147483646l0,-2147483646xe" stroked="f" o:allowincell="f" style="position:absolute;margin-left:214.5pt;margin-top:-8.15pt;width:405.1pt;height:84.85pt;mso-wrap-style:square;v-text-anchor:top" wp14:anchorId="1A8E4D00">
              <v:fill o:detectmouseclick="t" on="false"/>
              <v:stroke color="#3465a4" joinstyle="round" endcap="flat"/>
              <v:textbox>
                <w:txbxContent>
                  <w:p>
                    <w:pPr>
                      <w:pStyle w:val="Contedodoquadrouser"/>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user"/>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spacing w:lineRule="auto" w:line="240"/>
                      <w:ind w:hanging="2" w:left="0"/>
                      <w:rPr>
                        <w:color w:val="000000"/>
                      </w:rPr>
                    </w:pPr>
                    <w:r>
                      <w:rPr>
                        <w:color w:val="000000"/>
                      </w:rPr>
                    </w:r>
                  </w:p>
                </w:txbxContent>
              </v:textbox>
              <w10:wrap type="none"/>
            </v:rect>
          </w:pict>
        </mc:Fallback>
      </mc:AlternateContent>
      <mc:AlternateContent>
        <mc:Choice Requires="wps">
          <w:drawing>
            <wp:anchor behindDoc="1" distT="635" distB="0" distL="635" distR="0" simplePos="0" locked="0" layoutInCell="0" allowOverlap="1" relativeHeight="36">
              <wp:simplePos x="0" y="0"/>
              <wp:positionH relativeFrom="rightMargin">
                <wp:align>center</wp:align>
              </wp:positionH>
              <wp:positionV relativeFrom="margin">
                <wp:align>top</wp:align>
              </wp:positionV>
              <wp:extent cx="581025" cy="409575"/>
              <wp:effectExtent l="635" t="635" r="0" b="0"/>
              <wp:wrapNone/>
              <wp:docPr id="3" name="Seta para a Direita 16"/>
              <a:graphic xmlns:a="http://schemas.openxmlformats.org/drawingml/2006/main">
                <a:graphicData uri="http://schemas.microsoft.com/office/word/2010/wordprocessingShape">
                  <wps:wsp>
                    <wps:cNvSpPr/>
                    <wps:spPr>
                      <a:xfrm rot="10800000">
                        <a:off x="0" y="0"/>
                        <a:ext cx="581040" cy="409680"/>
                      </a:xfrm>
                      <a:prstGeom prst="rightArrow">
                        <a:avLst>
                          <a:gd name="adj1" fmla="val 50278"/>
                          <a:gd name="adj2" fmla="val 52482"/>
                        </a:avLst>
                      </a:prstGeom>
                      <a:solidFill>
                        <a:srgbClr val="c0504d"/>
                      </a:solidFill>
                      <a:ln w="0">
                        <a:noFill/>
                      </a:ln>
                    </wps:spPr>
                    <wps:style>
                      <a:lnRef idx="0"/>
                      <a:fillRef idx="0"/>
                      <a:effectRef idx="0"/>
                      <a:fontRef idx="minor"/>
                    </wps:style>
                    <wps:txbx>
                      <w:txbxContent>
                        <w:sdt>
                          <w:sdtPr>
                            <w:docPartObj>
                              <w:docPartGallery w:val="Page Numbers (Margins)"/>
                              <w:docPartUnique w:val="true"/>
                            </w:docPartObj>
                          </w:sdtPr>
                          <w:sdtContent>
                            <w:p>
                              <w:pPr>
                                <w:pStyle w:val="Footer"/>
                                <w:ind w:hanging="2" w:left="0"/>
                                <w:jc w:val="center"/>
                                <w:rPr>
                                  <w:color w:themeColor="background1" w:val="FFFFFF"/>
                                </w:rPr>
                              </w:pPr>
                              <w:r>
                                <w:rPr>
                                  <w:color w:themeColor="background1" w:val="FFFFFF"/>
                                </w:rPr>
                                <w:fldChar w:fldCharType="begin"/>
                              </w:r>
                              <w:r>
                                <w:rPr>
                                  <w:color w:themeColor="background1" w:val="FFFFFF"/>
                                </w:rPr>
                                <w:instrText xml:space="preserve"> PAGE </w:instrText>
                              </w:r>
                              <w:r>
                                <w:rPr>
                                  <w:color w:themeColor="background1" w:val="FFFFFF"/>
                                </w:rPr>
                                <w:fldChar w:fldCharType="separate"/>
                              </w:r>
                              <w:r>
                                <w:rPr>
                                  <w:color w:themeColor="background1" w:val="FFFFFF"/>
                                </w:rPr>
                                <w:t>7</w:t>
                              </w:r>
                              <w:r>
                                <w:rPr>
                                  <w:color w:themeColor="background1" w:val="FFFFFF"/>
                                </w:rPr>
                                <w:fldChar w:fldCharType="end"/>
                              </w:r>
                            </w:p>
                            <w:p>
                              <w:pPr>
                                <w:pStyle w:val="Contedodoquadrouser"/>
                                <w:ind w:hanging="2" w:left="0"/>
                                <w:rPr>
                                  <w:color w:val="000000"/>
                                </w:rPr>
                              </w:pPr>
                              <w:r>
                                <w:rPr>
                                  <w:color w:val="000000"/>
                                </w:rPr>
                              </w:r>
                            </w:p>
                          </w:sdtContent>
                        </w:sdt>
                      </w:txbxContent>
                    </wps:txbx>
                    <wps:bodyPr tIns="0" bIns="0" anchor="t">
                      <a:noAutofit/>
                    </wps:bodyPr>
                  </wps:wsp>
                </a:graphicData>
              </a:graphic>
            </wp:anchor>
          </w:drawing>
        </mc:Choice>
        <mc:Fallback>
          <w:pict>
            <v:shapetype id="_x0000_t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Seta para a Direita 16" path="l-2147483635,-2147483631l-2147483635,0l-2147483622,-2147483632l-2147483635,-2147483623l-2147483635,-2147483629l0,-2147483629xe" fillcolor="#c0504d" stroked="f" o:allowincell="f" style="position:absolute;margin-left:-4.9pt;margin-top:0.05pt;width:45.7pt;height:32.2pt;mso-wrap-style:square;v-text-anchor:top;rotation:180;mso-position-horizontal:center;mso-position-horizontal-relative:page;mso-position-vertical:top;mso-position-vertical-relative:margin" type="_x0000_t13">
              <v:fill o:detectmouseclick="t" type="solid" color2="#3fafb2"/>
              <v:stroke color="#3465a4" joinstyle="round" endcap="flat"/>
              <v:textbox>
                <w:txbxContent>
                  <w:sdt>
                    <w:sdtPr>
                      <w:docPartObj>
                        <w:docPartGallery w:val="Page Numbers (Margins)"/>
                        <w:docPartUnique w:val="true"/>
                      </w:docPartObj>
                    </w:sdtPr>
                    <w:sdtContent>
                      <w:p>
                        <w:pPr>
                          <w:pStyle w:val="Footer"/>
                          <w:ind w:hanging="2" w:left="0"/>
                          <w:jc w:val="center"/>
                          <w:rPr>
                            <w:color w:themeColor="background1" w:val="FFFFFF"/>
                          </w:rPr>
                        </w:pPr>
                        <w:r>
                          <w:rPr>
                            <w:color w:themeColor="background1" w:val="FFFFFF"/>
                          </w:rPr>
                          <w:fldChar w:fldCharType="begin"/>
                        </w:r>
                        <w:r>
                          <w:rPr>
                            <w:color w:themeColor="background1" w:val="FFFFFF"/>
                          </w:rPr>
                          <w:instrText xml:space="preserve"> PAGE </w:instrText>
                        </w:r>
                        <w:r>
                          <w:rPr>
                            <w:color w:themeColor="background1" w:val="FFFFFF"/>
                          </w:rPr>
                          <w:fldChar w:fldCharType="separate"/>
                        </w:r>
                        <w:r>
                          <w:rPr>
                            <w:color w:themeColor="background1" w:val="FFFFFF"/>
                          </w:rPr>
                          <w:t>7</w:t>
                        </w:r>
                        <w:r>
                          <w:rPr>
                            <w:color w:themeColor="background1" w:val="FFFFFF"/>
                          </w:rPr>
                          <w:fldChar w:fldCharType="end"/>
                        </w:r>
                      </w:p>
                      <w:p>
                        <w:pPr>
                          <w:pStyle w:val="Contedodoquadrouser"/>
                          <w:ind w:hanging="2" w:left="0"/>
                          <w:rPr>
                            <w:color w:val="000000"/>
                          </w:rPr>
                        </w:pPr>
                        <w:r>
                          <w:rPr>
                            <w:color w:val="000000"/>
                          </w:rPr>
                        </w:r>
                      </w:p>
                    </w:sdtContent>
                  </w:sdt>
                </w:txbxContent>
              </v:textbox>
              <w10:wrap type="none"/>
            </v:shape>
          </w:pict>
        </mc:Fallback>
      </mc:AlternateContent>
    </w:r>
  </w:p>
  <w:p>
    <w:pPr>
      <w:pStyle w:val="Normal"/>
      <w:tabs>
        <w:tab w:val="clear" w:pos="720"/>
        <w:tab w:val="left" w:pos="12424" w:leader="none"/>
      </w:tabs>
      <w:spacing w:lineRule="auto" w:line="240"/>
      <w:ind w:hanging="2" w:left="0"/>
      <w:rPr>
        <w:color w:val="000000"/>
      </w:rPr>
    </w:pPr>
    <w:r>
      <w:rPr>
        <w:color w:val="000000"/>
      </w:rPr>
      <w:tab/>
      <w:tab/>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8">
          <wp:simplePos x="0" y="0"/>
          <wp:positionH relativeFrom="column">
            <wp:posOffset>1824355</wp:posOffset>
          </wp:positionH>
          <wp:positionV relativeFrom="paragraph">
            <wp:posOffset>-219710</wp:posOffset>
          </wp:positionV>
          <wp:extent cx="1003300" cy="1193800"/>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0" distL="635" distR="0" simplePos="0" locked="0" layoutInCell="1" allowOverlap="1" relativeHeight="21" wp14:anchorId="1A8E4D00">
              <wp:simplePos x="0" y="0"/>
              <wp:positionH relativeFrom="column">
                <wp:posOffset>2724150</wp:posOffset>
              </wp:positionH>
              <wp:positionV relativeFrom="paragraph">
                <wp:posOffset>-103505</wp:posOffset>
              </wp:positionV>
              <wp:extent cx="5145405" cy="1078230"/>
              <wp:effectExtent l="635" t="0" r="0" b="0"/>
              <wp:wrapNone/>
              <wp:docPr id="5" name="Retângulo 3"/>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fillRef idx="0"/>
                      <a:effectRef idx="0"/>
                      <a:fontRef idx="minor"/>
                    </wps:style>
                    <wps:txbx>
                      <w:txbxContent>
                        <w:p>
                          <w:pPr>
                            <w:pStyle w:val="Contedodoquadrouser"/>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user"/>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spacing w:lineRule="auto" w:line="240"/>
                            <w:ind w:hanging="2" w:left="0"/>
                            <w:rPr>
                              <w:color w:val="000000"/>
                            </w:rPr>
                          </w:pPr>
                          <w:r>
                            <w:rPr>
                              <w:color w:val="000000"/>
                            </w:rPr>
                          </w:r>
                        </w:p>
                      </w:txbxContent>
                    </wps:txbx>
                    <wps:bodyPr anchor="t" upright="1">
                      <a:noAutofit/>
                    </wps:bodyPr>
                  </wps:wsp>
                </a:graphicData>
              </a:graphic>
            </wp:anchor>
          </w:drawing>
        </mc:Choice>
        <mc:Fallback>
          <w:pict>
            <v:rect id="shape_0" ID="Retângulo 3" path="m0,0l-2147483645,0l-2147483645,-2147483646l0,-2147483646xe" stroked="f" o:allowincell="f" style="position:absolute;margin-left:214.5pt;margin-top:-8.15pt;width:405.1pt;height:84.85pt;mso-wrap-style:square;v-text-anchor:top" wp14:anchorId="1A8E4D00">
              <v:fill o:detectmouseclick="t" on="false"/>
              <v:stroke color="#3465a4" joinstyle="round" endcap="flat"/>
              <v:textbox>
                <w:txbxContent>
                  <w:p>
                    <w:pPr>
                      <w:pStyle w:val="Contedodoquadrouser"/>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user"/>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spacing w:lineRule="auto" w:line="240"/>
                      <w:ind w:hanging="2" w:left="0"/>
                      <w:rPr>
                        <w:color w:val="000000"/>
                      </w:rPr>
                    </w:pPr>
                    <w:r>
                      <w:rPr>
                        <w:color w:val="000000"/>
                      </w:rPr>
                    </w:r>
                  </w:p>
                </w:txbxContent>
              </v:textbox>
              <w10:wrap type="none"/>
            </v:rect>
          </w:pict>
        </mc:Fallback>
      </mc:AlternateContent>
      <mc:AlternateContent>
        <mc:Choice Requires="wps">
          <w:drawing>
            <wp:anchor behindDoc="1" distT="635" distB="0" distL="635" distR="0" simplePos="0" locked="0" layoutInCell="0" allowOverlap="1" relativeHeight="36">
              <wp:simplePos x="0" y="0"/>
              <wp:positionH relativeFrom="rightMargin">
                <wp:align>center</wp:align>
              </wp:positionH>
              <wp:positionV relativeFrom="margin">
                <wp:align>top</wp:align>
              </wp:positionV>
              <wp:extent cx="581025" cy="409575"/>
              <wp:effectExtent l="635" t="635" r="0" b="0"/>
              <wp:wrapNone/>
              <wp:docPr id="6" name="Seta para a Direita 16"/>
              <a:graphic xmlns:a="http://schemas.openxmlformats.org/drawingml/2006/main">
                <a:graphicData uri="http://schemas.microsoft.com/office/word/2010/wordprocessingShape">
                  <wps:wsp>
                    <wps:cNvSpPr/>
                    <wps:spPr>
                      <a:xfrm rot="10800000">
                        <a:off x="0" y="0"/>
                        <a:ext cx="581040" cy="409680"/>
                      </a:xfrm>
                      <a:prstGeom prst="rightArrow">
                        <a:avLst>
                          <a:gd name="adj1" fmla="val 50278"/>
                          <a:gd name="adj2" fmla="val 52482"/>
                        </a:avLst>
                      </a:prstGeom>
                      <a:solidFill>
                        <a:srgbClr val="c0504d"/>
                      </a:solidFill>
                      <a:ln w="0">
                        <a:noFill/>
                      </a:ln>
                    </wps:spPr>
                    <wps:style>
                      <a:lnRef idx="0"/>
                      <a:fillRef idx="0"/>
                      <a:effectRef idx="0"/>
                      <a:fontRef idx="minor"/>
                    </wps:style>
                    <wps:txbx>
                      <w:txbxContent>
                        <w:sdt>
                          <w:sdtPr>
                            <w:docPartObj>
                              <w:docPartGallery w:val="Page Numbers (Margins)"/>
                              <w:docPartUnique w:val="true"/>
                            </w:docPartObj>
                          </w:sdtPr>
                          <w:sdtContent>
                            <w:p>
                              <w:pPr>
                                <w:pStyle w:val="Footer"/>
                                <w:ind w:hanging="2" w:left="0"/>
                                <w:jc w:val="center"/>
                                <w:rPr>
                                  <w:color w:themeColor="background1" w:val="FFFFFF"/>
                                </w:rPr>
                              </w:pPr>
                              <w:r>
                                <w:rPr>
                                  <w:color w:themeColor="background1" w:val="FFFFFF"/>
                                </w:rPr>
                                <w:fldChar w:fldCharType="begin"/>
                              </w:r>
                              <w:r>
                                <w:rPr>
                                  <w:color w:themeColor="background1" w:val="FFFFFF"/>
                                </w:rPr>
                                <w:instrText xml:space="preserve"> PAGE </w:instrText>
                              </w:r>
                              <w:r>
                                <w:rPr>
                                  <w:color w:themeColor="background1" w:val="FFFFFF"/>
                                </w:rPr>
                                <w:fldChar w:fldCharType="separate"/>
                              </w:r>
                              <w:r>
                                <w:rPr>
                                  <w:color w:themeColor="background1" w:val="FFFFFF"/>
                                </w:rPr>
                                <w:t>7</w:t>
                              </w:r>
                              <w:r>
                                <w:rPr>
                                  <w:color w:themeColor="background1" w:val="FFFFFF"/>
                                </w:rPr>
                                <w:fldChar w:fldCharType="end"/>
                              </w:r>
                            </w:p>
                            <w:p>
                              <w:pPr>
                                <w:pStyle w:val="Contedodoquadrouser"/>
                                <w:ind w:hanging="2" w:left="0"/>
                                <w:rPr>
                                  <w:color w:val="000000"/>
                                </w:rPr>
                              </w:pPr>
                              <w:r>
                                <w:rPr>
                                  <w:color w:val="000000"/>
                                </w:rPr>
                              </w:r>
                            </w:p>
                          </w:sdtContent>
                        </w:sdt>
                      </w:txbxContent>
                    </wps:txbx>
                    <wps:bodyPr tIns="0" bIns="0" anchor="t">
                      <a:noAutofit/>
                    </wps:bodyPr>
                  </wps:wsp>
                </a:graphicData>
              </a:graphic>
            </wp:anchor>
          </w:drawing>
        </mc:Choice>
        <mc:Fallback>
          <w:pict>
            <v:shape id="shape_0" ID="Seta para a Direita 16" path="l-2147483635,-2147483631l-2147483635,0l-2147483622,-2147483632l-2147483635,-2147483623l-2147483635,-2147483629l0,-2147483629xe" fillcolor="#c0504d" stroked="f" o:allowincell="f" style="position:absolute;margin-left:-4.9pt;margin-top:0.05pt;width:45.7pt;height:32.2pt;mso-wrap-style:square;v-text-anchor:top;rotation:180;mso-position-horizontal:center;mso-position-horizontal-relative:page;mso-position-vertical:top;mso-position-vertical-relative:margin" type="_x0000_t13">
              <v:fill o:detectmouseclick="t" type="solid" color2="#3fafb2"/>
              <v:stroke color="#3465a4" joinstyle="round" endcap="flat"/>
              <v:textbox>
                <w:txbxContent>
                  <w:sdt>
                    <w:sdtPr>
                      <w:docPartObj>
                        <w:docPartGallery w:val="Page Numbers (Margins)"/>
                        <w:docPartUnique w:val="true"/>
                      </w:docPartObj>
                    </w:sdtPr>
                    <w:sdtContent>
                      <w:p>
                        <w:pPr>
                          <w:pStyle w:val="Footer"/>
                          <w:ind w:hanging="2" w:left="0"/>
                          <w:jc w:val="center"/>
                          <w:rPr>
                            <w:color w:themeColor="background1" w:val="FFFFFF"/>
                          </w:rPr>
                        </w:pPr>
                        <w:r>
                          <w:rPr>
                            <w:color w:themeColor="background1" w:val="FFFFFF"/>
                          </w:rPr>
                          <w:fldChar w:fldCharType="begin"/>
                        </w:r>
                        <w:r>
                          <w:rPr>
                            <w:color w:themeColor="background1" w:val="FFFFFF"/>
                          </w:rPr>
                          <w:instrText xml:space="preserve"> PAGE </w:instrText>
                        </w:r>
                        <w:r>
                          <w:rPr>
                            <w:color w:themeColor="background1" w:val="FFFFFF"/>
                          </w:rPr>
                          <w:fldChar w:fldCharType="separate"/>
                        </w:r>
                        <w:r>
                          <w:rPr>
                            <w:color w:themeColor="background1" w:val="FFFFFF"/>
                          </w:rPr>
                          <w:t>7</w:t>
                        </w:r>
                        <w:r>
                          <w:rPr>
                            <w:color w:themeColor="background1" w:val="FFFFFF"/>
                          </w:rPr>
                          <w:fldChar w:fldCharType="end"/>
                        </w:r>
                      </w:p>
                      <w:p>
                        <w:pPr>
                          <w:pStyle w:val="Contedodoquadrouser"/>
                          <w:ind w:hanging="2" w:left="0"/>
                          <w:rPr>
                            <w:color w:val="000000"/>
                          </w:rPr>
                        </w:pPr>
                        <w:r>
                          <w:rPr>
                            <w:color w:val="000000"/>
                          </w:rPr>
                        </w:r>
                      </w:p>
                    </w:sdtContent>
                  </w:sdt>
                </w:txbxContent>
              </v:textbox>
              <w10:wrap type="none"/>
            </v:shape>
          </w:pict>
        </mc:Fallback>
      </mc:AlternateContent>
    </w:r>
  </w:p>
  <w:p>
    <w:pPr>
      <w:pStyle w:val="Normal"/>
      <w:tabs>
        <w:tab w:val="clear" w:pos="720"/>
        <w:tab w:val="left" w:pos="12424" w:leader="none"/>
      </w:tabs>
      <w:spacing w:lineRule="auto" w:line="240"/>
      <w:ind w:hanging="2" w:left="0"/>
      <w:rPr>
        <w:color w:val="000000"/>
      </w:rPr>
    </w:pPr>
    <w:r>
      <w:rPr>
        <w:color w:val="000000"/>
      </w:rPr>
      <w:tab/>
      <w:tab/>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hdr>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11e2"/>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rsid w:val="00b311e2"/>
    <w:pPr>
      <w:keepNext w:val="true"/>
      <w:ind w:left="3969"/>
      <w:jc w:val="both"/>
    </w:pPr>
    <w:rPr>
      <w:b/>
      <w:szCs w:val="20"/>
      <w:u w:val="single"/>
    </w:rPr>
  </w:style>
  <w:style w:type="paragraph" w:styleId="Heading2">
    <w:name w:val="heading 2"/>
    <w:basedOn w:val="Normal"/>
    <w:next w:val="Normal"/>
    <w:qFormat/>
    <w:rsid w:val="00b311e2"/>
    <w:pPr>
      <w:keepNext w:val="true"/>
      <w:keepLines/>
      <w:spacing w:before="360" w:after="80"/>
      <w:outlineLvl w:val="1"/>
    </w:pPr>
    <w:rPr>
      <w:b/>
      <w:sz w:val="36"/>
      <w:szCs w:val="36"/>
    </w:rPr>
  </w:style>
  <w:style w:type="paragraph" w:styleId="Heading3">
    <w:name w:val="heading 3"/>
    <w:basedOn w:val="Normal"/>
    <w:next w:val="Normal"/>
    <w:qFormat/>
    <w:rsid w:val="00b311e2"/>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rsid w:val="00b311e2"/>
    <w:pPr>
      <w:keepNext w:val="true"/>
      <w:keepLines/>
      <w:spacing w:before="240" w:after="40"/>
      <w:outlineLvl w:val="3"/>
    </w:pPr>
    <w:rPr>
      <w:b/>
    </w:rPr>
  </w:style>
  <w:style w:type="paragraph" w:styleId="Heading5">
    <w:name w:val="heading 5"/>
    <w:basedOn w:val="Normal"/>
    <w:next w:val="Normal"/>
    <w:qFormat/>
    <w:rsid w:val="00b311e2"/>
    <w:pPr>
      <w:keepNext w:val="true"/>
      <w:keepLines/>
      <w:spacing w:before="220" w:after="40"/>
      <w:outlineLvl w:val="4"/>
    </w:pPr>
    <w:rPr>
      <w:b/>
      <w:sz w:val="22"/>
      <w:szCs w:val="22"/>
    </w:rPr>
  </w:style>
  <w:style w:type="paragraph" w:styleId="Heading6">
    <w:name w:val="heading 6"/>
    <w:basedOn w:val="Normal"/>
    <w:next w:val="Normal"/>
    <w:qFormat/>
    <w:rsid w:val="00b311e2"/>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uiPriority w:val="99"/>
    <w:qFormat/>
    <w:rsid w:val="00b311e2"/>
    <w:rPr>
      <w:w w:val="100"/>
      <w:position w:val="0"/>
      <w:sz w:val="24"/>
      <w:sz w:val="24"/>
      <w:szCs w:val="24"/>
      <w:effect w:val="none"/>
      <w:vertAlign w:val="baseline"/>
      <w:em w:val="none"/>
    </w:rPr>
  </w:style>
  <w:style w:type="character" w:styleId="RodapChar" w:customStyle="1">
    <w:name w:val="Rodapé Char"/>
    <w:uiPriority w:val="99"/>
    <w:qFormat/>
    <w:rsid w:val="00b311e2"/>
    <w:rPr>
      <w:w w:val="100"/>
      <w:position w:val="0"/>
      <w:sz w:val="24"/>
      <w:sz w:val="24"/>
      <w:szCs w:val="24"/>
      <w:effect w:val="none"/>
      <w:vertAlign w:val="baseline"/>
      <w:em w:val="none"/>
    </w:rPr>
  </w:style>
  <w:style w:type="character" w:styleId="TextodebaloChar" w:customStyle="1">
    <w:name w:val="Texto de balão Char"/>
    <w:qFormat/>
    <w:rsid w:val="00b311e2"/>
    <w:rPr>
      <w:rFonts w:ascii="Segoe UI" w:hAnsi="Segoe UI" w:cs="Segoe UI"/>
      <w:w w:val="100"/>
      <w:position w:val="0"/>
      <w:sz w:val="18"/>
      <w:sz w:val="18"/>
      <w:szCs w:val="18"/>
      <w:effect w:val="none"/>
      <w:vertAlign w:val="baseline"/>
      <w:em w:val="none"/>
    </w:rPr>
  </w:style>
  <w:style w:type="character" w:styleId="Ttulo3Char" w:customStyle="1">
    <w:name w:val="Título 3 Char"/>
    <w:qFormat/>
    <w:rsid w:val="00b311e2"/>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sid w:val="00b311e2"/>
    <w:rPr>
      <w:w w:val="100"/>
      <w:position w:val="0"/>
      <w:sz w:val="16"/>
      <w:sz w:val="16"/>
      <w:szCs w:val="16"/>
      <w:effect w:val="none"/>
      <w:vertAlign w:val="baseline"/>
      <w:em w:val="none"/>
    </w:rPr>
  </w:style>
  <w:style w:type="character" w:styleId="TextodenotaderodapChar" w:customStyle="1">
    <w:name w:val="Texto de nota de rodapé Char"/>
    <w:basedOn w:val="DefaultParagraphFont"/>
    <w:uiPriority w:val="99"/>
    <w:semiHidden/>
    <w:qFormat/>
    <w:rsid w:val="00663379"/>
    <w:rPr>
      <w:sz w:val="20"/>
      <w:szCs w:val="20"/>
      <w:vertAlign w:val="subscript"/>
    </w:rPr>
  </w:style>
  <w:style w:type="character" w:styleId="Caracteresdenotaderodap">
    <w:name w:val="Caracteres de nota de rodapé"/>
    <w:uiPriority w:val="99"/>
    <w:semiHidden/>
    <w:unhideWhenUsed/>
    <w:qFormat/>
    <w:rsid w:val="00663379"/>
    <w:rPr>
      <w:vertAlign w:val="superscript"/>
    </w:rPr>
  </w:style>
  <w:style w:type="character" w:styleId="FootnoteReference">
    <w:name w:val="footnote reference"/>
    <w:rPr>
      <w:vertAlign w:val="superscript"/>
    </w:rPr>
  </w:style>
  <w:style w:type="character" w:styleId="Hyperlink">
    <w:name w:val="Hyperlink"/>
    <w:basedOn w:val="DefaultParagraphFont"/>
    <w:uiPriority w:val="99"/>
    <w:unhideWhenUsed/>
    <w:rsid w:val="009a22ee"/>
    <w:rPr>
      <w:color w:themeColor="hyperlink" w:val="0000FF"/>
      <w:u w:val="single"/>
    </w:rPr>
  </w:style>
  <w:style w:type="character" w:styleId="PageNumber">
    <w:name w:val="page number"/>
    <w:basedOn w:val="DefaultParagraphFont"/>
    <w:uiPriority w:val="99"/>
    <w:unhideWhenUsed/>
    <w:rsid w:val="004d740d"/>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tulouser">
    <w:name w:val="Título (user)"/>
    <w:basedOn w:val="Normal"/>
    <w:next w:val="BodyText"/>
    <w:qFormat/>
    <w:pPr>
      <w:keepNext w:val="true"/>
      <w:spacing w:before="240" w:after="120"/>
    </w:pPr>
    <w:rPr>
      <w:rFonts w:ascii="Liberation Sans" w:hAnsi="Liberation Sans" w:eastAsia="Microsoft YaHei" w:cs="Arial"/>
      <w:sz w:val="28"/>
      <w:szCs w:val="28"/>
    </w:rPr>
  </w:style>
  <w:style w:type="paragraph" w:styleId="ndiceuser">
    <w:name w:val="Índice (user)"/>
    <w:basedOn w:val="Normal"/>
    <w:qFormat/>
    <w:pPr>
      <w:suppressLineNumbers/>
    </w:pPr>
    <w:rPr>
      <w:rFonts w:cs="Arial"/>
    </w:rPr>
  </w:style>
  <w:style w:type="paragraph" w:styleId="Title">
    <w:name w:val="Title"/>
    <w:basedOn w:val="Normal"/>
    <w:next w:val="Normal"/>
    <w:qFormat/>
    <w:rsid w:val="00b311e2"/>
    <w:pPr>
      <w:keepNext w:val="true"/>
      <w:keepLines/>
      <w:spacing w:before="480" w:after="120"/>
    </w:pPr>
    <w:rPr>
      <w:b/>
      <w:sz w:val="72"/>
      <w:szCs w:val="72"/>
    </w:rPr>
  </w:style>
  <w:style w:type="paragraph" w:styleId="BodyTextIndent">
    <w:name w:val="Body Text Indent"/>
    <w:basedOn w:val="Normal"/>
    <w:rsid w:val="00b311e2"/>
    <w:pPr>
      <w:ind w:firstLine="3118" w:left="851"/>
      <w:jc w:val="both"/>
    </w:pPr>
    <w:rPr>
      <w:sz w:val="28"/>
      <w:szCs w:val="20"/>
    </w:rPr>
  </w:style>
  <w:style w:type="paragraph" w:styleId="BodyTextIndent2">
    <w:name w:val="Body Text Indent 2"/>
    <w:basedOn w:val="Normal"/>
    <w:qFormat/>
    <w:rsid w:val="00b311e2"/>
    <w:pPr>
      <w:ind w:firstLine="2889" w:left="1080"/>
      <w:jc w:val="both"/>
    </w:pPr>
    <w:rPr>
      <w:bCs/>
      <w:sz w:val="25"/>
      <w:szCs w:val="28"/>
    </w:rPr>
  </w:style>
  <w:style w:type="paragraph" w:styleId="Cabealhoerodapuser">
    <w:name w:val="Cabeçalho e rodapé (user)"/>
    <w:basedOn w:val="Normal"/>
    <w:qFormat/>
    <w:pPr/>
    <w:rPr/>
  </w:style>
  <w:style w:type="paragraph" w:styleId="Cabealhoerodap">
    <w:name w:val="Cabeçalho e rodapé"/>
    <w:basedOn w:val="Normal"/>
    <w:qFormat/>
    <w:pPr/>
    <w:rPr/>
  </w:style>
  <w:style w:type="paragraph" w:styleId="Header">
    <w:name w:val="header"/>
    <w:basedOn w:val="Normal"/>
    <w:uiPriority w:val="99"/>
    <w:qFormat/>
    <w:rsid w:val="00b311e2"/>
    <w:pPr>
      <w:tabs>
        <w:tab w:val="clear" w:pos="720"/>
        <w:tab w:val="center" w:pos="4252" w:leader="none"/>
        <w:tab w:val="right" w:pos="8504" w:leader="none"/>
      </w:tabs>
    </w:pPr>
    <w:rPr/>
  </w:style>
  <w:style w:type="paragraph" w:styleId="Footer">
    <w:name w:val="footer"/>
    <w:basedOn w:val="Normal"/>
    <w:uiPriority w:val="99"/>
    <w:qFormat/>
    <w:rsid w:val="00b311e2"/>
    <w:pPr>
      <w:tabs>
        <w:tab w:val="clear" w:pos="720"/>
        <w:tab w:val="center" w:pos="4252" w:leader="none"/>
        <w:tab w:val="right" w:pos="8504" w:leader="none"/>
      </w:tabs>
    </w:pPr>
    <w:rPr/>
  </w:style>
  <w:style w:type="paragraph" w:styleId="BalloonText">
    <w:name w:val="Balloon Text"/>
    <w:basedOn w:val="Normal"/>
    <w:qFormat/>
    <w:rsid w:val="00b311e2"/>
    <w:pPr/>
    <w:rPr>
      <w:rFonts w:ascii="Segoe UI" w:hAnsi="Segoe UI"/>
      <w:sz w:val="18"/>
      <w:szCs w:val="18"/>
    </w:rPr>
  </w:style>
  <w:style w:type="paragraph" w:styleId="BodyTextIndent3">
    <w:name w:val="Body Text Indent 3"/>
    <w:basedOn w:val="Normal"/>
    <w:qFormat/>
    <w:rsid w:val="00b311e2"/>
    <w:pPr>
      <w:spacing w:before="0" w:after="120"/>
      <w:ind w:left="283"/>
    </w:pPr>
    <w:rPr>
      <w:sz w:val="16"/>
      <w:szCs w:val="16"/>
    </w:rPr>
  </w:style>
  <w:style w:type="paragraph" w:styleId="Default" w:customStyle="1">
    <w:name w:val="Default"/>
    <w:qFormat/>
    <w:rsid w:val="00b311e2"/>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rsid w:val="00b311e2"/>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8c672b"/>
    <w:pPr>
      <w:spacing w:before="0" w:after="0"/>
      <w:ind w:left="720"/>
      <w:contextualSpacing/>
    </w:pPr>
    <w:rPr/>
  </w:style>
  <w:style w:type="paragraph" w:styleId="FootnoteText">
    <w:name w:val="footnote text"/>
    <w:basedOn w:val="Normal"/>
    <w:link w:val="TextodenotaderodapChar"/>
    <w:uiPriority w:val="99"/>
    <w:semiHidden/>
    <w:unhideWhenUsed/>
    <w:rsid w:val="00663379"/>
    <w:pPr>
      <w:spacing w:lineRule="auto" w:line="240"/>
    </w:pPr>
    <w:rPr>
      <w:sz w:val="20"/>
      <w:szCs w:val="20"/>
    </w:rPr>
  </w:style>
  <w:style w:type="paragraph" w:styleId="Contedodoquadrouser">
    <w:name w:val="Conteúdo do quadro (user)"/>
    <w:basedOn w:val="Normal"/>
    <w:qFormat/>
    <w:pPr/>
    <w:rPr/>
  </w:style>
  <w:style w:type="paragraph" w:styleId="Contedodoquadro">
    <w:name w:val="Conteúdo do quadro"/>
    <w:basedOn w:val="Normal"/>
    <w:qFormat/>
    <w:pPr/>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rsid w:val="00b311e2"/>
    <w:tblPr>
      <w:tblCellMar>
        <w:top w:w="0" w:type="dxa"/>
        <w:left w:w="0" w:type="dxa"/>
        <w:bottom w:w="0" w:type="dxa"/>
        <w:right w:w="0" w:type="dxa"/>
      </w:tblCellMar>
    </w:tblPr>
  </w:style>
  <w:style w:type="table" w:customStyle="1" w:styleId="TableNormal1">
    <w:name w:val="Table Normal1"/>
    <w:rsid w:val="00b311e2"/>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03089B8F-3CC4-4F7A-9331-0B0183F2FE2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Application>LibreOffice/24.8.5.2$Windows_X86_64 LibreOffice_project/fddf2685c70b461e7832239a0162a77216259f22</Application>
  <AppVersion>15.0000</AppVersion>
  <Pages>7</Pages>
  <Words>2055</Words>
  <Characters>12904</Characters>
  <CharactersWithSpaces>15049</CharactersWithSpaces>
  <Paragraphs>277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2024-05-23T11:44:00Z</dcterms:created>
  <dc:creator>x</dc:creator>
  <dc:description/>
  <dc:language>pt-BR</dc:language>
  <cp:lastModifiedBy/>
  <cp:lastPrinted>2024-05-23T13:45:00Z</cp:lastPrinted>
  <dcterms:modified xsi:type="dcterms:W3CDTF">2025-03-18T09:07:11Z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