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845"/>
          <w:tab w:val="left" w:leader="none" w:pos="6096"/>
          <w:tab w:val="right" w:leader="none" w:pos="10415"/>
        </w:tabs>
        <w:spacing w:line="360" w:lineRule="auto"/>
        <w:ind w:left="567" w:right="-567" w:hanging="567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Ofício nº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361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2025/GS                                                                       Bandeirantes, 03 de julho de 2025.</w:t>
      </w:r>
    </w:p>
    <w:p w:rsidR="00000000" w:rsidDel="00000000" w:rsidP="00000000" w:rsidRDefault="00000000" w:rsidRPr="00000000" w14:paraId="00000002">
      <w:pPr>
        <w:tabs>
          <w:tab w:val="left" w:leader="none" w:pos="142"/>
        </w:tabs>
        <w:spacing w:line="360" w:lineRule="auto"/>
        <w:ind w:firstLine="3261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Senhor Diretor, </w:t>
      </w:r>
    </w:p>
    <w:p w:rsidR="00000000" w:rsidDel="00000000" w:rsidP="00000000" w:rsidRDefault="00000000" w:rsidRPr="00000000" w14:paraId="00000003">
      <w:pPr>
        <w:spacing w:after="200" w:before="0" w:line="276" w:lineRule="auto"/>
        <w:ind w:left="0" w:right="-522" w:firstLine="3261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Pelo presente, vimos a presença de Vossa Senhoria, esclarecer os apontamentos realizados pela Advogado Municipal Vinícius Alves Scherch, através do Parecer Jurídico nº 1628/2025, Processo nº 93/2025, com relação ao processo de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AQUISIÇÃO DE 02 VEÍCULOS AUTOMOTORES DE PASSEIO, BÁSICOS, NOVOS (ZERO - QUILÔMETRO), PARA ATENDER A APAE E SECRETARIA DE ASSISTÊNCIA SOCIAL E ASSUNTOS DA FAMÍLIA PROVENIENTES DE RECURSO DE EMENDA PARLAMENTAR, PROGRAMAÇÃO Nº410240620240001 E INCENTIVO EMENDAS “PARANÁ MAIS CIDADES” DEL CEAS 081/2024.</w:t>
      </w:r>
    </w:p>
    <w:p w:rsidR="00000000" w:rsidDel="00000000" w:rsidP="00000000" w:rsidRDefault="00000000" w:rsidRPr="00000000" w14:paraId="00000004">
      <w:pPr>
        <w:ind w:right="-522" w:firstLine="3261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 que se refere a conclusão, foram relacionados os seguintes apontamentos: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3981" w:right="-522" w:hanging="720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u w:val="single"/>
          <w:rtl w:val="0"/>
        </w:rPr>
        <w:t xml:space="preserve">I) Juntar ao processo o documento referente ao programa 410240620240001 e emendas “PARANÁ MAIS CIDADES” DEL CEAS 081/2024;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3981" w:right="-522" w:hanging="720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u w:val="single"/>
          <w:rtl w:val="0"/>
        </w:rPr>
        <w:t xml:space="preserve">II) Verificar o item 3.4.4 do TR, das especificações técnicas do veículo (fl.33);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3981" w:right="-522" w:hanging="720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u w:val="single"/>
          <w:rtl w:val="0"/>
        </w:rPr>
        <w:t xml:space="preserve">III)  O TR é omisso quanto à necessidade qualificação técnica dos licitantes;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3981" w:right="-522" w:hanging="720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u w:val="single"/>
          <w:rtl w:val="0"/>
        </w:rPr>
        <w:t xml:space="preserve">IV) O objeto não pode ser adquirido por lote conforme o ETP (fl.28), pois a formação de preços se deu por item, sendo incompatível com a economicidade e disputa do certame;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3981" w:right="-522" w:hanging="720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u w:val="single"/>
          <w:rtl w:val="0"/>
        </w:rPr>
        <w:t xml:space="preserve">Constam orçamentos vencidos no processo e preenchidos a lápis.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before="0" w:line="276" w:lineRule="auto"/>
        <w:ind w:left="0" w:right="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Após a observância dos apontamentos relacionados ao processo, acatamos as recomendações emitidas ao longo do parecer, para que possamos dar andamento ao Pregão, sendo essa, de grande importância para a continuidade do processo.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   </w:t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I) Juntar ao processo o documento referente ao programa 410240620240001 e emendas “PARANÁ MAIS CIDADES” DEL CEAS 081/2024; 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Os documentos referente ao programa 410240620240001 e emendas “PARANÁ MAIS CIDADES” DEL CEAS 081/2024, foram anexadas ao processo.</w:t>
      </w:r>
    </w:p>
    <w:p w:rsidR="00000000" w:rsidDel="00000000" w:rsidP="00000000" w:rsidRDefault="00000000" w:rsidRPr="00000000" w14:paraId="0000000D">
      <w:pPr>
        <w:spacing w:after="0" w:before="200" w:line="276" w:lineRule="auto"/>
        <w:ind w:left="0" w:right="0" w:firstLine="0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II) Verificar o item 3.4.4 do TR, das especificações técnicas do veículo (fl.33);</w:t>
      </w:r>
    </w:p>
    <w:p w:rsidR="00000000" w:rsidDel="00000000" w:rsidP="00000000" w:rsidRDefault="00000000" w:rsidRPr="00000000" w14:paraId="0000000E">
      <w:pPr>
        <w:spacing w:after="0" w:before="200" w:line="36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 secretaria realizou as alterações solicitadas quanto a especificação técnica do veículo, confirmando que o descritivo solicitado na planilha é o mesmo exigido pelo item 4.4 Especificações Técnicas dos Veículos .</w:t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III)  O TR é omisso quanto à necessidade qualificação técnica dos licitantes;</w:t>
      </w:r>
    </w:p>
    <w:p w:rsidR="00000000" w:rsidDel="00000000" w:rsidP="00000000" w:rsidRDefault="00000000" w:rsidRPr="00000000" w14:paraId="00000011">
      <w:pPr>
        <w:spacing w:after="0" w:line="360" w:lineRule="auto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 secretaria realizou as alterações solicitadas quanto a inclusão da Qualificação Técnico-Operacional e Documentos de Qualificação Técnica que estava omissa no documento Termo de Referência.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360" w:lineRule="auto"/>
        <w:jc w:val="both"/>
        <w:rPr>
          <w:rFonts w:ascii="Arial" w:cs="Arial" w:eastAsia="Arial" w:hAnsi="Arial"/>
          <w:sz w:val="20"/>
          <w:szCs w:val="20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IV) O objeto não pode ser adquirido por lote conforme o ETP (fl.28), pois a formação de preços se deu por item, sendo incompatível com a economicidade e disputa do certame;</w:t>
      </w:r>
    </w:p>
    <w:p w:rsidR="00000000" w:rsidDel="00000000" w:rsidP="00000000" w:rsidRDefault="00000000" w:rsidRPr="00000000" w14:paraId="00000014">
      <w:pPr>
        <w:spacing w:after="0" w:line="36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 secretaria realizou as alterações solicitadas alterando por lote para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POR ITEM.</w:t>
      </w:r>
    </w:p>
    <w:p w:rsidR="00000000" w:rsidDel="00000000" w:rsidP="00000000" w:rsidRDefault="00000000" w:rsidRPr="00000000" w14:paraId="00000015">
      <w:pPr>
        <w:spacing w:after="0" w:line="360" w:lineRule="auto"/>
        <w:jc w:val="both"/>
        <w:rPr>
          <w:rFonts w:ascii="Arial" w:cs="Arial" w:eastAsia="Arial" w:hAnsi="Arial"/>
          <w:sz w:val="20"/>
          <w:szCs w:val="20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V) Constam orçamentos vencidos no processo e preenchidos a lápis.</w:t>
      </w:r>
    </w:p>
    <w:p w:rsidR="00000000" w:rsidDel="00000000" w:rsidP="00000000" w:rsidRDefault="00000000" w:rsidRPr="00000000" w14:paraId="00000017">
      <w:pPr>
        <w:spacing w:after="0" w:line="360" w:lineRule="auto"/>
        <w:jc w:val="both"/>
        <w:rPr>
          <w:rFonts w:ascii="Arial" w:cs="Arial" w:eastAsia="Arial" w:hAnsi="Arial"/>
          <w:b w:val="1"/>
          <w:i w:val="1"/>
          <w:sz w:val="20"/>
          <w:szCs w:val="20"/>
          <w:highlight w:val="red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 secretaria justifica que a utilização está em conformidade com o disposto no art. 368 inciso IV § 2º do Decreto 3.573/2023.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ind w:right="-522"/>
        <w:jc w:val="both"/>
        <w:rPr>
          <w:rFonts w:ascii="Arial" w:cs="Arial" w:eastAsia="Arial" w:hAnsi="Arial"/>
          <w:sz w:val="20"/>
          <w:szCs w:val="20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76" w:lineRule="auto"/>
        <w:ind w:right="-52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Segue anexo os documentos modificados para ser juntada aos autos do processo. </w:t>
      </w:r>
    </w:p>
    <w:p w:rsidR="00000000" w:rsidDel="00000000" w:rsidP="00000000" w:rsidRDefault="00000000" w:rsidRPr="00000000" w14:paraId="0000001A">
      <w:pPr>
        <w:spacing w:after="0" w:line="276" w:lineRule="auto"/>
        <w:ind w:right="-522"/>
        <w:jc w:val="both"/>
        <w:rPr>
          <w:rFonts w:ascii="Arial" w:cs="Arial" w:eastAsia="Arial" w:hAnsi="Arial"/>
          <w:sz w:val="20"/>
          <w:szCs w:val="20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ind w:right="-522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OBS 1: As folhas impressas serão encaminhadas para substituição. Os documentos para substituição são, Portaria, Análise Crítica, Estudo Técnico Preliminar (ETP), Documento de Formalização de Demanda (DFD) e Termo de Referência (TR).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Os documentos referente ao programa 410240620240001 e emendas “PARANÁ MAIS CIDADES” DEL CEAS 081/2024 foram impressos para serem anexados ao processo.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ind w:right="-522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ind w:right="-522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OBS 2: Foi necessário proceder à alteração da Portaria devido à substituição dos membros responsáveis. A servidora Cirlei, anteriormente designada como fiscal, será substituída pela servidora Thiellen. Da mesma forma, a servidora Wanda, que atuava como gestora, será substituída pela servidora Rosiane.</w:t>
      </w:r>
    </w:p>
    <w:p w:rsidR="00000000" w:rsidDel="00000000" w:rsidP="00000000" w:rsidRDefault="00000000" w:rsidRPr="00000000" w14:paraId="0000001E">
      <w:pPr>
        <w:spacing w:after="0" w:line="276" w:lineRule="auto"/>
        <w:ind w:right="-522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right="-522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OBS 3: As dotações anexadas anteriormente ao processo foram alteradas, conforme enviadas pelo setor de contabilidade.</w:t>
      </w:r>
    </w:p>
    <w:p w:rsidR="00000000" w:rsidDel="00000000" w:rsidP="00000000" w:rsidRDefault="00000000" w:rsidRPr="00000000" w14:paraId="00000020">
      <w:pPr>
        <w:spacing w:after="0" w:line="276" w:lineRule="auto"/>
        <w:ind w:right="-522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76" w:lineRule="auto"/>
        <w:ind w:right="-522"/>
        <w:jc w:val="both"/>
        <w:rPr>
          <w:rFonts w:ascii="Arial" w:cs="Arial" w:eastAsia="Arial" w:hAnsi="Arial"/>
          <w:b w:val="1"/>
          <w:i w:val="1"/>
          <w:sz w:val="20"/>
          <w:szCs w:val="20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00" w:before="0" w:line="276" w:lineRule="auto"/>
        <w:ind w:right="-522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                                               Contando com a habitual atenção de Vossa Senhoria, reitero meus protestos de estima e consideração.</w:t>
      </w:r>
    </w:p>
    <w:p w:rsidR="00000000" w:rsidDel="00000000" w:rsidP="00000000" w:rsidRDefault="00000000" w:rsidRPr="00000000" w14:paraId="00000023">
      <w:pPr>
        <w:ind w:right="-522" w:firstLine="3261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Atenciosamente,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     </w:t>
      </w:r>
    </w:p>
    <w:p w:rsidR="00000000" w:rsidDel="00000000" w:rsidP="00000000" w:rsidRDefault="00000000" w:rsidRPr="00000000" w14:paraId="00000024">
      <w:pPr>
        <w:ind w:right="-522" w:firstLine="3261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-522" w:firstLine="3261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026">
      <w:pPr>
        <w:tabs>
          <w:tab w:val="left" w:leader="none" w:pos="495"/>
          <w:tab w:val="left" w:leader="none" w:pos="567"/>
        </w:tabs>
        <w:spacing w:after="0" w:line="240" w:lineRule="auto"/>
        <w:ind w:left="281" w:right="-426" w:firstLine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495"/>
          <w:tab w:val="left" w:leader="none" w:pos="567"/>
        </w:tabs>
        <w:spacing w:after="0" w:line="240" w:lineRule="auto"/>
        <w:ind w:left="281" w:right="-42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495"/>
          <w:tab w:val="left" w:leader="none" w:pos="567"/>
        </w:tabs>
        <w:spacing w:after="0" w:line="240" w:lineRule="auto"/>
        <w:ind w:left="283" w:right="-426" w:hanging="1.999999999999993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Rosiane Cristina Vieira Néia Storti</w:t>
      </w:r>
    </w:p>
    <w:p w:rsidR="00000000" w:rsidDel="00000000" w:rsidP="00000000" w:rsidRDefault="00000000" w:rsidRPr="00000000" w14:paraId="00000029">
      <w:pPr>
        <w:tabs>
          <w:tab w:val="left" w:leader="none" w:pos="495"/>
          <w:tab w:val="left" w:leader="none" w:pos="567"/>
        </w:tabs>
        <w:spacing w:after="0" w:line="240" w:lineRule="auto"/>
        <w:ind w:left="281" w:right="-426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Secretária Municipal de Assistência Social e Políticas para Mulheres</w:t>
      </w:r>
    </w:p>
    <w:p w:rsidR="00000000" w:rsidDel="00000000" w:rsidP="00000000" w:rsidRDefault="00000000" w:rsidRPr="00000000" w14:paraId="0000002A">
      <w:pPr>
        <w:tabs>
          <w:tab w:val="left" w:leader="none" w:pos="495"/>
          <w:tab w:val="left" w:leader="none" w:pos="567"/>
        </w:tabs>
        <w:spacing w:after="0" w:line="240" w:lineRule="auto"/>
        <w:ind w:left="281" w:right="-426" w:firstLine="0"/>
        <w:jc w:val="center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Portaria 14.859/202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Sr.</w:t>
      </w:r>
    </w:p>
    <w:p w:rsidR="00000000" w:rsidDel="00000000" w:rsidP="00000000" w:rsidRDefault="00000000" w:rsidRPr="00000000" w14:paraId="0000002F">
      <w:pPr>
        <w:spacing w:after="0" w:before="0" w:line="240" w:lineRule="auto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WESLLEY RODRIGO RAMOS PIRES</w:t>
      </w:r>
    </w:p>
    <w:p w:rsidR="00000000" w:rsidDel="00000000" w:rsidP="00000000" w:rsidRDefault="00000000" w:rsidRPr="00000000" w14:paraId="00000030">
      <w:pPr>
        <w:spacing w:after="0" w:before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Diretor do Departamento de Licitação</w:t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38" w:w="11906" w:orient="portrait"/>
      <w:pgMar w:bottom="1135" w:top="1389" w:left="1701" w:right="1558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Rua Dino Veiga, 29, Centro – Fone: (43)3542-3419 – CEP 86.360-000</w:t>
    </w:r>
  </w:p>
  <w:p w:rsidR="00000000" w:rsidDel="00000000" w:rsidP="00000000" w:rsidRDefault="00000000" w:rsidRPr="00000000" w14:paraId="00000039">
    <w:pPr>
      <w:tabs>
        <w:tab w:val="center" w:leader="none" w:pos="4252"/>
        <w:tab w:val="right" w:leader="none" w:pos="8504"/>
      </w:tabs>
      <w:spacing w:after="0" w:line="240" w:lineRule="auto"/>
      <w:ind w:left="709" w:firstLine="0"/>
      <w:rPr>
        <w:sz w:val="20"/>
        <w:szCs w:val="20"/>
      </w:rPr>
    </w:pPr>
    <w:r w:rsidDel="00000000" w:rsidR="00000000" w:rsidRPr="00000000">
      <w:rPr>
        <w:rtl w:val="0"/>
      </w:rPr>
      <w:t xml:space="preserve">                                            </w:t>
    </w:r>
    <w:r w:rsidDel="00000000" w:rsidR="00000000" w:rsidRPr="00000000">
      <w:rPr>
        <w:sz w:val="18"/>
        <w:szCs w:val="18"/>
        <w:rtl w:val="0"/>
      </w:rPr>
      <w:t xml:space="preserve">E mail:</w:t>
    </w:r>
    <w:r w:rsidDel="00000000" w:rsidR="00000000" w:rsidRPr="00000000">
      <w:rPr>
        <w:rtl w:val="0"/>
      </w:rPr>
      <w:t xml:space="preserve"> </w:t>
    </w:r>
    <w:hyperlink r:id="rId1">
      <w:r w:rsidDel="00000000" w:rsidR="00000000" w:rsidRPr="00000000">
        <w:rPr>
          <w:color w:val="0000ff"/>
          <w:sz w:val="20"/>
          <w:szCs w:val="20"/>
          <w:u w:val="single"/>
          <w:rtl w:val="0"/>
        </w:rPr>
        <w:t xml:space="preserve">acaosocialband@hotmail.com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tabs>
        <w:tab w:val="center" w:leader="none" w:pos="4252"/>
        <w:tab w:val="right" w:leader="none" w:pos="8504"/>
      </w:tabs>
      <w:spacing w:after="0" w:line="240" w:lineRule="auto"/>
      <w:ind w:left="709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                                                       Bandeirantes - Paraná</w:t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after="80" w:before="0" w:line="240" w:lineRule="auto"/>
      <w:jc w:val="center"/>
      <w:rPr>
        <w:b w:val="1"/>
        <w:i w:val="1"/>
      </w:rPr>
    </w:pPr>
    <w:r w:rsidDel="00000000" w:rsidR="00000000" w:rsidRPr="00000000">
      <w:rPr>
        <w:b w:val="1"/>
        <w:i w:val="1"/>
        <w:rtl w:val="0"/>
      </w:rPr>
      <w:t xml:space="preserve">PREFEITURA MUNICIPAL DE BANDEIRANTES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-569589</wp:posOffset>
          </wp:positionH>
          <wp:positionV relativeFrom="paragraph">
            <wp:posOffset>-289554</wp:posOffset>
          </wp:positionV>
          <wp:extent cx="784860" cy="741045"/>
          <wp:effectExtent b="0" l="0" r="0" t="0"/>
          <wp:wrapNone/>
          <wp:docPr id="1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4860" cy="74104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2">
    <w:pPr>
      <w:spacing w:after="120" w:before="0" w:line="240" w:lineRule="auto"/>
      <w:jc w:val="center"/>
      <w:rPr>
        <w:i w:val="1"/>
      </w:rPr>
    </w:pPr>
    <w:r w:rsidDel="00000000" w:rsidR="00000000" w:rsidRPr="00000000">
      <w:rPr>
        <w:i w:val="1"/>
        <w:rtl w:val="0"/>
      </w:rPr>
      <w:t xml:space="preserve">ESTADO DO PARANÁ</w:t>
    </w:r>
  </w:p>
  <w:p w:rsidR="00000000" w:rsidDel="00000000" w:rsidP="00000000" w:rsidRDefault="00000000" w:rsidRPr="00000000" w14:paraId="00000033">
    <w:pPr>
      <w:tabs>
        <w:tab w:val="center" w:leader="none" w:pos="4323"/>
        <w:tab w:val="left" w:leader="none" w:pos="7884"/>
      </w:tabs>
      <w:spacing w:after="120" w:before="0" w:line="240" w:lineRule="auto"/>
      <w:ind w:firstLine="0"/>
      <w:jc w:val="center"/>
      <w:rPr>
        <w:i w:val="1"/>
      </w:rPr>
    </w:pPr>
    <w:r w:rsidDel="00000000" w:rsidR="00000000" w:rsidRPr="00000000">
      <w:rPr>
        <w:b w:val="1"/>
        <w:i w:val="1"/>
        <w:rtl w:val="0"/>
      </w:rPr>
      <w:t xml:space="preserve">SECRETARIA MUNICIPAL DE ASSISTÊNCIA SOCIAL E POLÍTICAS PARA MULHERES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after="80" w:before="0" w:line="240" w:lineRule="auto"/>
      <w:jc w:val="center"/>
      <w:rPr>
        <w:b w:val="1"/>
        <w:i w:val="1"/>
      </w:rPr>
    </w:pPr>
    <w:r w:rsidDel="00000000" w:rsidR="00000000" w:rsidRPr="00000000">
      <w:rPr>
        <w:b w:val="1"/>
        <w:i w:val="1"/>
        <w:rtl w:val="0"/>
      </w:rPr>
      <w:t xml:space="preserve">PREFEITURA MUNICIPAL DE BANDEIRANTES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-569589</wp:posOffset>
          </wp:positionH>
          <wp:positionV relativeFrom="paragraph">
            <wp:posOffset>-289554</wp:posOffset>
          </wp:positionV>
          <wp:extent cx="784860" cy="741045"/>
          <wp:effectExtent b="0" l="0" r="0" t="0"/>
          <wp:wrapNone/>
          <wp:docPr id="1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4860" cy="74104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5">
    <w:pPr>
      <w:spacing w:after="120" w:before="0" w:line="240" w:lineRule="auto"/>
      <w:jc w:val="center"/>
      <w:rPr>
        <w:i w:val="1"/>
      </w:rPr>
    </w:pPr>
    <w:r w:rsidDel="00000000" w:rsidR="00000000" w:rsidRPr="00000000">
      <w:rPr>
        <w:i w:val="1"/>
        <w:rtl w:val="0"/>
      </w:rPr>
      <w:t xml:space="preserve">ESTADO DO PARANÁ</w:t>
    </w:r>
  </w:p>
  <w:p w:rsidR="00000000" w:rsidDel="00000000" w:rsidP="00000000" w:rsidRDefault="00000000" w:rsidRPr="00000000" w14:paraId="00000036">
    <w:pPr>
      <w:tabs>
        <w:tab w:val="center" w:leader="none" w:pos="4323"/>
        <w:tab w:val="left" w:leader="none" w:pos="7884"/>
      </w:tabs>
      <w:spacing w:after="120" w:before="0" w:line="240" w:lineRule="auto"/>
      <w:ind w:firstLine="0"/>
      <w:jc w:val="center"/>
      <w:rPr>
        <w:i w:val="1"/>
      </w:rPr>
    </w:pPr>
    <w:r w:rsidDel="00000000" w:rsidR="00000000" w:rsidRPr="00000000">
      <w:rPr>
        <w:b w:val="1"/>
        <w:i w:val="1"/>
        <w:rtl w:val="0"/>
      </w:rPr>
      <w:t xml:space="preserve">SECRETARIA MUNICIPAL DE ASSISTENCIA SOCIAL E ASSUNTOS DA FAMÍLIA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486400" cy="5486400"/>
          <wp:effectExtent b="0" l="0" r="0" t="0"/>
          <wp:wrapNone/>
          <wp:docPr id="1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86400" cy="5486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)"/>
      <w:lvlJc w:val="left"/>
      <w:pPr>
        <w:ind w:left="3981" w:hanging="720"/>
      </w:pPr>
      <w:rPr/>
    </w:lvl>
    <w:lvl w:ilvl="1">
      <w:start w:val="1"/>
      <w:numFmt w:val="lowerLetter"/>
      <w:lvlText w:val="%2."/>
      <w:lvlJc w:val="left"/>
      <w:pPr>
        <w:ind w:left="4341" w:hanging="360"/>
      </w:pPr>
      <w:rPr/>
    </w:lvl>
    <w:lvl w:ilvl="2">
      <w:start w:val="1"/>
      <w:numFmt w:val="lowerRoman"/>
      <w:lvlText w:val="%3."/>
      <w:lvlJc w:val="right"/>
      <w:pPr>
        <w:ind w:left="5061" w:hanging="180"/>
      </w:pPr>
      <w:rPr/>
    </w:lvl>
    <w:lvl w:ilvl="3">
      <w:start w:val="1"/>
      <w:numFmt w:val="decimal"/>
      <w:lvlText w:val="%4."/>
      <w:lvlJc w:val="left"/>
      <w:pPr>
        <w:ind w:left="5781" w:hanging="360"/>
      </w:pPr>
      <w:rPr/>
    </w:lvl>
    <w:lvl w:ilvl="4">
      <w:start w:val="1"/>
      <w:numFmt w:val="lowerLetter"/>
      <w:lvlText w:val="%5."/>
      <w:lvlJc w:val="left"/>
      <w:pPr>
        <w:ind w:left="6501" w:hanging="360"/>
      </w:pPr>
      <w:rPr/>
    </w:lvl>
    <w:lvl w:ilvl="5">
      <w:start w:val="1"/>
      <w:numFmt w:val="lowerRoman"/>
      <w:lvlText w:val="%6."/>
      <w:lvlJc w:val="right"/>
      <w:pPr>
        <w:ind w:left="7221" w:hanging="180"/>
      </w:pPr>
      <w:rPr/>
    </w:lvl>
    <w:lvl w:ilvl="6">
      <w:start w:val="1"/>
      <w:numFmt w:val="decimal"/>
      <w:lvlText w:val="%7."/>
      <w:lvlJc w:val="left"/>
      <w:pPr>
        <w:ind w:left="7941" w:hanging="360"/>
      </w:pPr>
      <w:rPr/>
    </w:lvl>
    <w:lvl w:ilvl="7">
      <w:start w:val="1"/>
      <w:numFmt w:val="lowerLetter"/>
      <w:lvlText w:val="%8."/>
      <w:lvlJc w:val="left"/>
      <w:pPr>
        <w:ind w:left="8661" w:hanging="360"/>
      </w:pPr>
      <w:rPr/>
    </w:lvl>
    <w:lvl w:ilvl="8">
      <w:start w:val="1"/>
      <w:numFmt w:val="lowerRoman"/>
      <w:lvlText w:val="%9."/>
      <w:lvlJc w:val="right"/>
      <w:pPr>
        <w:ind w:left="9381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0" w:line="240" w:lineRule="auto"/>
      <w:jc w:val="center"/>
    </w:pPr>
    <w:rPr>
      <w:rFonts w:ascii="Times New Roman" w:cs="Times New Roman" w:eastAsia="Times New Roman" w:hAnsi="Times New Roman"/>
      <w:b w:val="1"/>
      <w:color w:val="0000ff"/>
      <w:sz w:val="32"/>
      <w:szCs w:val="3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CabealhoChar" w:customStyle="1">
    <w:name w:val="Cabeçalho Char"/>
    <w:basedOn w:val="DefaultParagraphFont"/>
    <w:uiPriority w:val="99"/>
    <w:qFormat w:val="1"/>
    <w:rsid w:val="00BD7711"/>
    <w:rPr/>
  </w:style>
  <w:style w:type="character" w:styleId="RodapChar" w:customStyle="1">
    <w:name w:val="Rodapé Char"/>
    <w:basedOn w:val="DefaultParagraphFont"/>
    <w:qFormat w:val="1"/>
    <w:rsid w:val="00BD7711"/>
    <w:rPr/>
  </w:style>
  <w:style w:type="character" w:styleId="LinkdaInternet">
    <w:name w:val="Link da Internet"/>
    <w:uiPriority w:val="99"/>
    <w:rsid w:val="00DC6BAD"/>
    <w:rPr>
      <w:color w:val="0000ff"/>
      <w:u w:val="single"/>
    </w:rPr>
  </w:style>
  <w:style w:type="character" w:styleId="SubttuloChar" w:customStyle="1">
    <w:name w:val="Subtítulo Char"/>
    <w:basedOn w:val="DefaultParagraphFont"/>
    <w:qFormat w:val="1"/>
    <w:rsid w:val="006337BD"/>
    <w:rPr>
      <w:rFonts w:ascii="Arial" w:cs="Arial" w:eastAsia="Times New Roman" w:hAnsi="Arial"/>
      <w:sz w:val="24"/>
      <w:szCs w:val="24"/>
      <w:lang w:eastAsia="ar-SA"/>
    </w:rPr>
  </w:style>
  <w:style w:type="character" w:styleId="TtuloChar" w:customStyle="1">
    <w:name w:val="Título Char"/>
    <w:basedOn w:val="DefaultParagraphFont"/>
    <w:qFormat w:val="1"/>
    <w:rsid w:val="006337BD"/>
    <w:rPr>
      <w:rFonts w:ascii="Times New Roman" w:cs="Times New Roman" w:eastAsia="Times New Roman" w:hAnsi="Times New Roman"/>
      <w:b w:val="1"/>
      <w:color w:val="0000ff"/>
      <w:sz w:val="32"/>
      <w:szCs w:val="20"/>
      <w:lang w:eastAsia="ar-SA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qFormat w:val="1"/>
    <w:rsid w:val="002C0876"/>
    <w:rPr>
      <w:color w:val="605e5c"/>
      <w:shd w:fill="e1dfdd" w:val="clear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  <w:lang w:bidi="zxx" w:eastAsia="zxx" w:val="zxx"/>
    </w:rPr>
  </w:style>
  <w:style w:type="paragraph" w:styleId="ListParagraph">
    <w:name w:val="List Paragraph"/>
    <w:basedOn w:val="Normal"/>
    <w:uiPriority w:val="34"/>
    <w:qFormat w:val="1"/>
    <w:rsid w:val="00410BEA"/>
    <w:pPr>
      <w:spacing w:after="200" w:before="0"/>
      <w:ind w:left="720" w:hanging="0"/>
      <w:contextualSpacing w:val="1"/>
    </w:pPr>
    <w:rPr/>
  </w:style>
  <w:style w:type="paragraph" w:styleId="CabealhoeRodap">
    <w:name w:val="Cabeçalho e Rodapé"/>
    <w:basedOn w:val="Normal"/>
    <w:qFormat w:val="1"/>
    <w:pPr/>
    <w:rPr/>
  </w:style>
  <w:style w:type="paragraph" w:styleId="Cabealho">
    <w:name w:val="Header"/>
    <w:basedOn w:val="Normal"/>
    <w:link w:val="CabealhoChar"/>
    <w:uiPriority w:val="99"/>
    <w:unhideWhenUsed w:val="1"/>
    <w:rsid w:val="00BD7711"/>
    <w:pPr>
      <w:tabs>
        <w:tab w:val="clear" w:pos="708"/>
        <w:tab w:val="center" w:leader="none" w:pos="4252"/>
        <w:tab w:val="right" w:leader="none" w:pos="8504"/>
      </w:tabs>
      <w:spacing w:after="0" w:before="0" w:line="240" w:lineRule="auto"/>
    </w:pPr>
    <w:rPr/>
  </w:style>
  <w:style w:type="paragraph" w:styleId="Rodap">
    <w:name w:val="Footer"/>
    <w:basedOn w:val="Normal"/>
    <w:link w:val="RodapChar"/>
    <w:unhideWhenUsed w:val="1"/>
    <w:rsid w:val="00BD7711"/>
    <w:pPr>
      <w:tabs>
        <w:tab w:val="clear" w:pos="708"/>
        <w:tab w:val="center" w:leader="none" w:pos="4252"/>
        <w:tab w:val="right" w:leader="none" w:pos="8504"/>
      </w:tabs>
      <w:spacing w:after="0" w:before="0" w:line="240" w:lineRule="auto"/>
    </w:pPr>
    <w:rPr/>
  </w:style>
  <w:style w:type="paragraph" w:styleId="TableParagraph" w:customStyle="1">
    <w:name w:val="Table Paragraph"/>
    <w:basedOn w:val="Normal"/>
    <w:uiPriority w:val="1"/>
    <w:qFormat w:val="1"/>
    <w:rsid w:val="10F9D54E"/>
    <w:pPr>
      <w:widowControl w:val="0"/>
      <w:bidi w:val="0"/>
      <w:spacing w:after="0" w:before="0"/>
      <w:ind w:left="0" w:hanging="0"/>
      <w:jc w:val="left"/>
    </w:pPr>
    <w:rPr>
      <w:rFonts w:ascii="Microsoft Sans Serif" w:cs="Microsoft Sans Serif" w:eastAsia="Microsoft Sans Serif" w:hAnsi="Microsoft Sans Serif"/>
      <w:color w:val="auto"/>
      <w:sz w:val="22"/>
      <w:szCs w:val="22"/>
      <w:vertAlign w:val="subscript"/>
      <w:lang w:bidi="ar-SA" w:eastAsia="en-US" w:val="pt-PT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elacomgrade">
    <w:name w:val="Table Grid"/>
    <w:basedOn w:val="Tabelanormal"/>
    <w:uiPriority w:val="39"/>
    <w:rsid w:val="00AF34A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spacing w:after="60" w:before="0" w:line="240" w:lineRule="auto"/>
      <w:jc w:val="center"/>
    </w:pPr>
    <w:rPr>
      <w:rFonts w:ascii="Arial" w:cs="Arial" w:eastAsia="Arial" w:hAnsi="Arial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acaosocialband@hotmail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vR7eoLeRdHL5MEd6YrQbXiR2Tw==">CgMxLjA4AHIhMTdQNnpNZTQtc1BkZWEyOWdJQnFRWVYycHRWQy1vTGJN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2024-02-06T18:14:00Z</dcterms:created>
  <dc:creator>Caio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