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AB09F" w14:textId="77777777" w:rsidR="00EA788B" w:rsidRPr="005C00CC" w:rsidRDefault="00EA788B" w:rsidP="00A129F0">
      <w:pPr>
        <w:ind w:left="0" w:hanging="2"/>
        <w:rPr>
          <w:rFonts w:eastAsia="Merriweather"/>
        </w:rPr>
      </w:pPr>
    </w:p>
    <w:p w14:paraId="2B56754A"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271C739D"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5DAF52E7" w14:textId="77777777" w:rsidTr="008F6EBA">
        <w:tc>
          <w:tcPr>
            <w:tcW w:w="15446" w:type="dxa"/>
            <w:vAlign w:val="center"/>
          </w:tcPr>
          <w:p w14:paraId="098C1286" w14:textId="6B1BB42C" w:rsidR="004C2BF6" w:rsidRPr="00C7235A" w:rsidRDefault="00CE0D11" w:rsidP="00CE0D11">
            <w:pPr>
              <w:widowControl w:val="0"/>
              <w:tabs>
                <w:tab w:val="right" w:pos="9071"/>
              </w:tabs>
              <w:ind w:left="0" w:right="-2" w:hanging="2"/>
              <w:textAlignment w:val="baseline"/>
              <w:rPr>
                <w:b/>
                <w:color w:val="000000" w:themeColor="text1"/>
                <w:sz w:val="22"/>
                <w:szCs w:val="22"/>
              </w:rPr>
            </w:pPr>
            <w:r>
              <w:rPr>
                <w:b/>
                <w:color w:val="000000" w:themeColor="text1"/>
                <w:sz w:val="22"/>
                <w:szCs w:val="22"/>
              </w:rPr>
              <w:t>R</w:t>
            </w:r>
            <w:r w:rsidR="004C2BF6" w:rsidRPr="00C7235A">
              <w:rPr>
                <w:b/>
                <w:color w:val="000000" w:themeColor="text1"/>
                <w:sz w:val="22"/>
                <w:szCs w:val="22"/>
              </w:rPr>
              <w:t>esponsável pela Edição:</w:t>
            </w:r>
            <w:r w:rsidR="00E8486C">
              <w:rPr>
                <w:b/>
                <w:color w:val="000000" w:themeColor="text1"/>
              </w:rPr>
              <w:t xml:space="preserve"> </w:t>
            </w:r>
            <w:r w:rsidR="006A0309">
              <w:rPr>
                <w:b/>
                <w:color w:val="000000" w:themeColor="text1"/>
              </w:rPr>
              <w:t xml:space="preserve">JOSE DE CARVALHO HENRIQUES NETO </w:t>
            </w:r>
          </w:p>
        </w:tc>
      </w:tr>
      <w:tr w:rsidR="004C2BF6" w:rsidRPr="00E80589" w14:paraId="36BBB930" w14:textId="77777777" w:rsidTr="008F6EBA">
        <w:tc>
          <w:tcPr>
            <w:tcW w:w="15446" w:type="dxa"/>
            <w:vAlign w:val="center"/>
          </w:tcPr>
          <w:p w14:paraId="2A0C58E9" w14:textId="02CFB27A" w:rsidR="004C2BF6" w:rsidRPr="00075F1D" w:rsidRDefault="00EF0DBC" w:rsidP="004349A5">
            <w:pPr>
              <w:spacing w:after="57" w:line="276" w:lineRule="auto"/>
              <w:ind w:leftChars="0" w:left="0" w:firstLineChars="0" w:firstLine="0"/>
              <w:rPr>
                <w:color w:val="000000" w:themeColor="text1"/>
                <w:sz w:val="22"/>
                <w:szCs w:val="22"/>
              </w:rPr>
            </w:pPr>
            <w:r>
              <w:rPr>
                <w:color w:val="000000" w:themeColor="text1"/>
                <w:sz w:val="22"/>
                <w:szCs w:val="22"/>
              </w:rPr>
              <w:t xml:space="preserve">Data de Criação: </w:t>
            </w:r>
            <w:r w:rsidR="004830D2">
              <w:rPr>
                <w:color w:val="000000" w:themeColor="text1"/>
                <w:sz w:val="22"/>
                <w:szCs w:val="22"/>
              </w:rPr>
              <w:t>27 de fevereiro</w:t>
            </w:r>
            <w:r>
              <w:rPr>
                <w:color w:val="000000" w:themeColor="text1"/>
                <w:sz w:val="22"/>
                <w:szCs w:val="22"/>
              </w:rPr>
              <w:t xml:space="preserve"> </w:t>
            </w:r>
            <w:r w:rsidR="004349A5">
              <w:rPr>
                <w:color w:val="000000" w:themeColor="text1"/>
                <w:sz w:val="22"/>
                <w:szCs w:val="22"/>
              </w:rPr>
              <w:t>de 2025.</w:t>
            </w:r>
          </w:p>
        </w:tc>
      </w:tr>
      <w:tr w:rsidR="004C2BF6" w:rsidRPr="00E80589" w14:paraId="01CCE30C" w14:textId="77777777" w:rsidTr="008F6EBA">
        <w:tc>
          <w:tcPr>
            <w:tcW w:w="15446" w:type="dxa"/>
            <w:vAlign w:val="center"/>
          </w:tcPr>
          <w:p w14:paraId="5ABC3868" w14:textId="041B225E" w:rsidR="004C2BF6" w:rsidRPr="008F6EBA" w:rsidRDefault="004C2BF6" w:rsidP="00F77EE3">
            <w:pPr>
              <w:spacing w:after="57" w:line="276" w:lineRule="auto"/>
              <w:ind w:leftChars="0" w:left="0" w:firstLineChars="0" w:firstLine="0"/>
              <w:jc w:val="both"/>
              <w:rPr>
                <w:color w:val="000000" w:themeColor="text1"/>
                <w:sz w:val="22"/>
                <w:szCs w:val="22"/>
              </w:rPr>
            </w:pPr>
            <w:r w:rsidRPr="00C7235A">
              <w:rPr>
                <w:b/>
                <w:color w:val="000000" w:themeColor="text1"/>
                <w:sz w:val="22"/>
                <w:szCs w:val="22"/>
              </w:rPr>
              <w:t>Objeto da Matriz de Riscos</w:t>
            </w:r>
            <w:r w:rsidR="006A0309">
              <w:rPr>
                <w:b/>
                <w:color w:val="000000" w:themeColor="text1"/>
                <w:sz w:val="22"/>
                <w:szCs w:val="22"/>
              </w:rPr>
              <w:t xml:space="preserve">: </w:t>
            </w:r>
            <w:r w:rsidR="006A0309" w:rsidRPr="007F6A8E">
              <w:rPr>
                <w:rFonts w:eastAsia="Merriweather"/>
                <w:b/>
                <w:bCs/>
              </w:rPr>
              <w:t>AQUISIÇÃO DE PLACAS DE IDENTIFICAÇÃO PARA JAZIGOS PARA ATENDER O CEMITERIO MUNICIPAL DE BANDEIRANTES-PR</w:t>
            </w:r>
          </w:p>
        </w:tc>
      </w:tr>
    </w:tbl>
    <w:p w14:paraId="2C2F011A"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14:paraId="071DFCB3" w14:textId="77777777"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A0FB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0E491AE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259AA1D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38402B6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10CD9D8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3B221E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26FC3DB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35D7FA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39BAB7B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4B25E06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7ECF54D3"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474247D" w14:textId="77777777" w:rsidR="004C2BF6" w:rsidRPr="004C2BF6" w:rsidRDefault="004C2BF6" w:rsidP="004F1234">
            <w:pPr>
              <w:ind w:left="0" w:hanging="2"/>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16A8918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BE296E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1EC490C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5F3399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0EF48BF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6AACC1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71635E4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0C2482D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6FBB483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2205CAEB"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2F62ED7"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696FE89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53BA84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5CB36C1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A46359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2284065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DF4929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Identificar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6AA9B52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0B9684E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2874C06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684767A9"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346663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4ECD66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8E8513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437F789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C418CF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49C90F2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41584DC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73AD6F2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5F8D7E5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523577F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3442E062"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660BC0D"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181B09A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04E17B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2EF0D5B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842DE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684DE1D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0EDD6F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601C0F9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2F8E358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7DA8153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36C9606E"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4A6DDC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1095F9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4A0BCA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0572332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9221D6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7CCE493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0DB8C3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519DD2B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EAAC3E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682A38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3E8F7789"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6852D8E"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1E3199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FD5A3D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71FBFA4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ABE2B9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1C9C4FE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3B1FBE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4E1A96F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D1ED38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52A5D2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7BD0C808" w14:textId="77777777"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0E989F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3A5E1E8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7C6B09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2C71282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C1E732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07356DB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27BF2D0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6C2EF85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0FA5ED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00168AA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62820C80"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396C5A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1A2A858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C51FD7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20757B2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6022E3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2CB3731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B52BF9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308C47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092EB4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6F59C9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6C11BE36"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226673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06516A5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C6A480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145A110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E4B32E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05EC6BB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59EDDE6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15798D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7324123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49DADB0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22B3684C"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FBB0491"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44AB1EB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3C55B6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7551000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F7AAC3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602E73B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7119AE8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0149981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F5B4CA4"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6C981D9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460352DA"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7B4E1A2"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5140DC4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04F036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32436DE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FDCE434"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382B873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78EE36A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65B33B9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2802268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758D3A5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3843315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88E40CD"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5458B68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A5EA8B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4C7B484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08F9B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105E141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43672C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37DE18C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E68837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6A8981B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7CCE6FCA"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4C9806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14:paraId="414E903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DFF16F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3E21208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7E8CACF"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58B927C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23839E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52119A9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863BC7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7541EA8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44D113F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6A38E3F"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1B94D61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7E5E39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0959947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CA07271"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4253262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AEB7C7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0713847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2CE1796"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076B921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19ACB73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3F8A64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150EE12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6E18C2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45CBC52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5587B4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1E7F5A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6BAAB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125AE7C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447A4B4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22A7C7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6CF76877" w14:textId="77777777"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1FDB21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4CA4FE0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0B25A2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0539CE4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15AA7B1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4840F54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7F0E690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66E103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15A73B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6615CA1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6BD82B32"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A6F845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14:paraId="5334885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15E8AA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42FA12D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EB1AAB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50EEAB1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F27245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4BAA0F4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5618B909"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0D7F687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6AE8769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EFE084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5291B54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AE5862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1258093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667542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55146B0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0B5BE0D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5ECD490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0477A93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7DA2D5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5599FA4A"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31B5BF2"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7BA336F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F7FA84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1F674E7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93AC8B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3F32A38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4B8D28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171666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467148D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0304436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14:paraId="2B95A627"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F23D41C" w14:textId="77777777"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6C8CFDE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7F4740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78153CB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1C612A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06C6DEC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65E0630"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30201D4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5B0F1AD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6D853D8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5BD3A18F"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713FECF" w14:textId="77777777"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4523207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FA16A3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1E73C86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ADBA86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37D9405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2486A5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5C99FCC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1A8418E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58BCBE0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33880767" w14:textId="77777777"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0E9C490"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0326AB7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D8BF3C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7D14F2F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27B8CE8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77D72BA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4B2FBD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173397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2C719C4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1D85DD5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242085FE"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490BCE2"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3FAAE20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9ACE0C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183931A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531AB74"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3D8B634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276D328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233734D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17F1E10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3551F49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13817C90" w14:textId="77777777"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EC12BE8"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24</w:t>
            </w:r>
          </w:p>
        </w:tc>
        <w:tc>
          <w:tcPr>
            <w:tcW w:w="1359" w:type="dxa"/>
            <w:tcBorders>
              <w:top w:val="nil"/>
              <w:left w:val="nil"/>
              <w:bottom w:val="single" w:sz="4" w:space="0" w:color="auto"/>
              <w:right w:val="single" w:sz="4" w:space="0" w:color="auto"/>
            </w:tcBorders>
            <w:shd w:val="clear" w:color="auto" w:fill="auto"/>
            <w:vAlign w:val="center"/>
            <w:hideMark/>
          </w:tcPr>
          <w:p w14:paraId="23BE137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4DFD67D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0D85720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373747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0F47ECD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5555FEB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5F19DA6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7DDC30B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0345455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DEPARTAMENTO DE LICITAÇÃO</w:t>
            </w:r>
          </w:p>
        </w:tc>
      </w:tr>
      <w:tr w:rsidR="008F6EBA" w:rsidRPr="008F6EBA" w14:paraId="1852FC3B"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9945A02"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7B4DEA5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72345B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1F35ABE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90FDE6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20D5204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2B449A2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01DB0A9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4B31E15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539F10C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42A332C8" w14:textId="77777777" w:rsidR="004C2BF6" w:rsidRDefault="004C2BF6" w:rsidP="001968B4">
      <w:pPr>
        <w:ind w:left="1" w:hanging="3"/>
        <w:jc w:val="center"/>
        <w:rPr>
          <w:rFonts w:eastAsia="Merriweather"/>
          <w:b/>
          <w:sz w:val="28"/>
          <w:szCs w:val="28"/>
        </w:rPr>
      </w:pPr>
    </w:p>
    <w:p w14:paraId="09E00A36" w14:textId="77777777" w:rsidR="009A57C6" w:rsidRDefault="009A57C6" w:rsidP="004C2BF6">
      <w:pPr>
        <w:ind w:left="0" w:hanging="2"/>
        <w:jc w:val="center"/>
        <w:rPr>
          <w:rFonts w:ascii="Cambria Math" w:hAnsi="Cambria Math"/>
          <w:sz w:val="22"/>
          <w:szCs w:val="22"/>
        </w:rPr>
      </w:pPr>
    </w:p>
    <w:p w14:paraId="62B5231D" w14:textId="175A2CA7" w:rsidR="00B6404D" w:rsidRPr="00B6404D" w:rsidRDefault="00CE0D11" w:rsidP="004C2BF6">
      <w:pPr>
        <w:ind w:left="0" w:hanging="2"/>
        <w:jc w:val="center"/>
        <w:rPr>
          <w:rFonts w:ascii="Cambria Math" w:hAnsi="Cambria Math"/>
          <w:b/>
          <w:sz w:val="22"/>
          <w:szCs w:val="22"/>
        </w:rPr>
      </w:pPr>
      <w:r>
        <w:rPr>
          <w:rFonts w:ascii="Cambria Math" w:hAnsi="Cambria Math"/>
          <w:b/>
          <w:sz w:val="22"/>
          <w:szCs w:val="22"/>
        </w:rPr>
        <w:t>____________________________________</w:t>
      </w:r>
    </w:p>
    <w:p w14:paraId="43227FE8" w14:textId="0DEE1D21" w:rsidR="004C2BF6" w:rsidRDefault="006A0309" w:rsidP="004C2BF6">
      <w:pPr>
        <w:ind w:left="0" w:hanging="2"/>
        <w:jc w:val="center"/>
        <w:rPr>
          <w:rFonts w:eastAsia="SimSun"/>
          <w:kern w:val="2"/>
          <w:sz w:val="22"/>
          <w:szCs w:val="22"/>
          <w:lang w:eastAsia="zh-CN" w:bidi="hi-IN"/>
        </w:rPr>
      </w:pPr>
      <w:r>
        <w:rPr>
          <w:rFonts w:eastAsia="SimSun"/>
          <w:kern w:val="2"/>
          <w:sz w:val="22"/>
          <w:szCs w:val="22"/>
          <w:lang w:eastAsia="zh-CN" w:bidi="hi-IN"/>
        </w:rPr>
        <w:t xml:space="preserve">JOSE DE CARVALHO HENRIQUES NETO </w:t>
      </w:r>
    </w:p>
    <w:p w14:paraId="6D57DD6B" w14:textId="50812016" w:rsidR="006A0309" w:rsidRPr="005C00CC" w:rsidRDefault="006A0309" w:rsidP="004C2BF6">
      <w:pPr>
        <w:ind w:left="0" w:hanging="2"/>
        <w:jc w:val="center"/>
        <w:rPr>
          <w:rFonts w:ascii="Cambria Math" w:hAnsi="Cambria Math"/>
          <w:sz w:val="20"/>
        </w:rPr>
      </w:pPr>
      <w:r>
        <w:rPr>
          <w:rFonts w:eastAsia="SimSun"/>
          <w:kern w:val="2"/>
          <w:sz w:val="22"/>
          <w:szCs w:val="22"/>
          <w:lang w:eastAsia="zh-CN" w:bidi="hi-IN"/>
        </w:rPr>
        <w:t xml:space="preserve">SECRETARIO DO MEIO AMBIENTE </w:t>
      </w:r>
    </w:p>
    <w:sectPr w:rsidR="006A0309"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D1C3D" w14:textId="77777777" w:rsidR="00843E46" w:rsidRDefault="00843E46">
      <w:pPr>
        <w:spacing w:line="240" w:lineRule="auto"/>
        <w:ind w:left="0" w:hanging="2"/>
      </w:pPr>
      <w:r>
        <w:separator/>
      </w:r>
    </w:p>
  </w:endnote>
  <w:endnote w:type="continuationSeparator" w:id="0">
    <w:p w14:paraId="52DE7621" w14:textId="77777777" w:rsidR="00843E46" w:rsidRDefault="00843E4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gerian">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25C9"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7FAB"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0619"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A14BC" w14:textId="77777777" w:rsidR="00843E46" w:rsidRDefault="00843E46">
      <w:pPr>
        <w:spacing w:line="240" w:lineRule="auto"/>
        <w:ind w:left="0" w:hanging="2"/>
      </w:pPr>
      <w:r>
        <w:separator/>
      </w:r>
    </w:p>
  </w:footnote>
  <w:footnote w:type="continuationSeparator" w:id="0">
    <w:p w14:paraId="0B9AA5C6" w14:textId="77777777" w:rsidR="00843E46" w:rsidRDefault="00843E4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6376F"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E2F95" w14:textId="77777777" w:rsidR="0065255A" w:rsidRDefault="006A0309">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75B48A69" wp14:editId="2A2EE17F">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76EEFAD6"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B6404D" w:rsidRPr="00B6404D">
                                <w:rPr>
                                  <w:noProof/>
                                  <w:color w:val="FFFFFF" w:themeColor="background1"/>
                                </w:rPr>
                                <w:t>5</w:t>
                              </w:r>
                              <w:r>
                                <w:rPr>
                                  <w:color w:val="FFFFFF" w:themeColor="background1"/>
                                </w:rPr>
                                <w:fldChar w:fldCharType="end"/>
                              </w:r>
                            </w:p>
                            <w:p w14:paraId="4919D855"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75B48A6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76EEFAD6"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B6404D" w:rsidRPr="00B6404D">
                          <w:rPr>
                            <w:noProof/>
                            <w:color w:val="FFFFFF" w:themeColor="background1"/>
                          </w:rPr>
                          <w:t>5</w:t>
                        </w:r>
                        <w:r>
                          <w:rPr>
                            <w:color w:val="FFFFFF" w:themeColor="background1"/>
                          </w:rPr>
                          <w:fldChar w:fldCharType="end"/>
                        </w:r>
                      </w:p>
                      <w:p w14:paraId="4919D855" w14:textId="77777777"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638D88A5" wp14:editId="47C01508">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2EF3ADBF" wp14:editId="555D4A0F">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E12D4"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705300C"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D111ED0"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EF3ADBF"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" filled="f" stroked="f">
              <v:textbox inset="2.53958mm,1.2694mm,2.53958mm,1.2694mm">
                <w:txbxContent>
                  <w:p w14:paraId="5F5E12D4"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705300C"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D111ED0" w14:textId="77777777" w:rsidR="0065255A" w:rsidRDefault="0065255A">
                    <w:pPr>
                      <w:spacing w:line="240" w:lineRule="auto"/>
                      <w:ind w:left="0" w:hanging="2"/>
                    </w:pPr>
                  </w:p>
                </w:txbxContent>
              </v:textbox>
            </v:rect>
          </w:pict>
        </mc:Fallback>
      </mc:AlternateContent>
    </w:r>
  </w:p>
  <w:p w14:paraId="00842CB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69B51EA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6466F91D"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5D6FB529"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2185C7C1"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3D221"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546944396">
    <w:abstractNumId w:val="11"/>
  </w:num>
  <w:num w:numId="2" w16cid:durableId="626551640">
    <w:abstractNumId w:val="9"/>
  </w:num>
  <w:num w:numId="3" w16cid:durableId="680350887">
    <w:abstractNumId w:val="16"/>
  </w:num>
  <w:num w:numId="4" w16cid:durableId="411246038">
    <w:abstractNumId w:val="19"/>
  </w:num>
  <w:num w:numId="5" w16cid:durableId="1293101644">
    <w:abstractNumId w:val="6"/>
  </w:num>
  <w:num w:numId="6" w16cid:durableId="1505246068">
    <w:abstractNumId w:val="3"/>
  </w:num>
  <w:num w:numId="7" w16cid:durableId="276371165">
    <w:abstractNumId w:val="1"/>
  </w:num>
  <w:num w:numId="8" w16cid:durableId="1026055348">
    <w:abstractNumId w:val="12"/>
  </w:num>
  <w:num w:numId="9" w16cid:durableId="122891119">
    <w:abstractNumId w:val="7"/>
  </w:num>
  <w:num w:numId="10" w16cid:durableId="1132020842">
    <w:abstractNumId w:val="5"/>
  </w:num>
  <w:num w:numId="11" w16cid:durableId="1167477077">
    <w:abstractNumId w:val="14"/>
  </w:num>
  <w:num w:numId="12" w16cid:durableId="276497008">
    <w:abstractNumId w:val="4"/>
  </w:num>
  <w:num w:numId="13" w16cid:durableId="1814789668">
    <w:abstractNumId w:val="18"/>
  </w:num>
  <w:num w:numId="14" w16cid:durableId="288172103">
    <w:abstractNumId w:val="20"/>
  </w:num>
  <w:num w:numId="15" w16cid:durableId="1574510877">
    <w:abstractNumId w:val="2"/>
  </w:num>
  <w:num w:numId="16" w16cid:durableId="1246762090">
    <w:abstractNumId w:val="21"/>
  </w:num>
  <w:num w:numId="17" w16cid:durableId="20056642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3427551">
    <w:abstractNumId w:val="15"/>
  </w:num>
  <w:num w:numId="19" w16cid:durableId="326595006">
    <w:abstractNumId w:val="8"/>
  </w:num>
  <w:num w:numId="20" w16cid:durableId="1903327959">
    <w:abstractNumId w:val="13"/>
  </w:num>
  <w:num w:numId="21" w16cid:durableId="1766801399">
    <w:abstractNumId w:val="17"/>
  </w:num>
  <w:num w:numId="22" w16cid:durableId="16367639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19E4"/>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75B59"/>
    <w:rsid w:val="002872B7"/>
    <w:rsid w:val="002C1778"/>
    <w:rsid w:val="00311CB2"/>
    <w:rsid w:val="00311E10"/>
    <w:rsid w:val="003248D5"/>
    <w:rsid w:val="00336C20"/>
    <w:rsid w:val="00345755"/>
    <w:rsid w:val="003467D2"/>
    <w:rsid w:val="003565A1"/>
    <w:rsid w:val="003610C5"/>
    <w:rsid w:val="00380286"/>
    <w:rsid w:val="003813C2"/>
    <w:rsid w:val="003830C4"/>
    <w:rsid w:val="00397801"/>
    <w:rsid w:val="00397FC1"/>
    <w:rsid w:val="003B12E3"/>
    <w:rsid w:val="003B2419"/>
    <w:rsid w:val="003B5F6D"/>
    <w:rsid w:val="003C344E"/>
    <w:rsid w:val="003D68C1"/>
    <w:rsid w:val="003E4BCA"/>
    <w:rsid w:val="003F6740"/>
    <w:rsid w:val="004006B0"/>
    <w:rsid w:val="00401DD6"/>
    <w:rsid w:val="00424EF5"/>
    <w:rsid w:val="0043341B"/>
    <w:rsid w:val="004349A5"/>
    <w:rsid w:val="004374C3"/>
    <w:rsid w:val="00444437"/>
    <w:rsid w:val="00444D94"/>
    <w:rsid w:val="004830D2"/>
    <w:rsid w:val="00483BC5"/>
    <w:rsid w:val="00495CA6"/>
    <w:rsid w:val="004A2076"/>
    <w:rsid w:val="004B6636"/>
    <w:rsid w:val="004C2BF6"/>
    <w:rsid w:val="004C6356"/>
    <w:rsid w:val="004D21E8"/>
    <w:rsid w:val="004D740D"/>
    <w:rsid w:val="004D788D"/>
    <w:rsid w:val="004E1583"/>
    <w:rsid w:val="004E248F"/>
    <w:rsid w:val="004E5268"/>
    <w:rsid w:val="004F0FF8"/>
    <w:rsid w:val="004F1234"/>
    <w:rsid w:val="004F23D2"/>
    <w:rsid w:val="004F2A66"/>
    <w:rsid w:val="00504539"/>
    <w:rsid w:val="005068F4"/>
    <w:rsid w:val="00512232"/>
    <w:rsid w:val="005219AB"/>
    <w:rsid w:val="00543699"/>
    <w:rsid w:val="005446F0"/>
    <w:rsid w:val="0056322A"/>
    <w:rsid w:val="0058753F"/>
    <w:rsid w:val="005907E4"/>
    <w:rsid w:val="005B14E2"/>
    <w:rsid w:val="005B39E2"/>
    <w:rsid w:val="005B4500"/>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0309"/>
    <w:rsid w:val="006A2D65"/>
    <w:rsid w:val="006C078E"/>
    <w:rsid w:val="006E4817"/>
    <w:rsid w:val="00703625"/>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43E46"/>
    <w:rsid w:val="00844EE4"/>
    <w:rsid w:val="00851E55"/>
    <w:rsid w:val="0085247D"/>
    <w:rsid w:val="0085754B"/>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24594"/>
    <w:rsid w:val="00A3023A"/>
    <w:rsid w:val="00A36C7B"/>
    <w:rsid w:val="00A5278C"/>
    <w:rsid w:val="00A54395"/>
    <w:rsid w:val="00A60B9A"/>
    <w:rsid w:val="00A72DCC"/>
    <w:rsid w:val="00A74EBF"/>
    <w:rsid w:val="00A77124"/>
    <w:rsid w:val="00A867CA"/>
    <w:rsid w:val="00A924F1"/>
    <w:rsid w:val="00A95344"/>
    <w:rsid w:val="00AA0996"/>
    <w:rsid w:val="00AB33EF"/>
    <w:rsid w:val="00AC26CB"/>
    <w:rsid w:val="00AD1EFC"/>
    <w:rsid w:val="00AE1415"/>
    <w:rsid w:val="00AF6387"/>
    <w:rsid w:val="00B311E2"/>
    <w:rsid w:val="00B3237D"/>
    <w:rsid w:val="00B35DB8"/>
    <w:rsid w:val="00B41F61"/>
    <w:rsid w:val="00B619F8"/>
    <w:rsid w:val="00B6404D"/>
    <w:rsid w:val="00B75B36"/>
    <w:rsid w:val="00B82ED4"/>
    <w:rsid w:val="00B836D1"/>
    <w:rsid w:val="00BB09A2"/>
    <w:rsid w:val="00BC7DB7"/>
    <w:rsid w:val="00BE23AA"/>
    <w:rsid w:val="00BE2E32"/>
    <w:rsid w:val="00BF21C1"/>
    <w:rsid w:val="00BF65DE"/>
    <w:rsid w:val="00C00EA9"/>
    <w:rsid w:val="00C060A2"/>
    <w:rsid w:val="00C07243"/>
    <w:rsid w:val="00C345DB"/>
    <w:rsid w:val="00C36497"/>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0D11"/>
    <w:rsid w:val="00CE1E82"/>
    <w:rsid w:val="00CE2BC8"/>
    <w:rsid w:val="00CE5BF3"/>
    <w:rsid w:val="00CE7B9F"/>
    <w:rsid w:val="00CF3ADB"/>
    <w:rsid w:val="00D14115"/>
    <w:rsid w:val="00D267FE"/>
    <w:rsid w:val="00D27823"/>
    <w:rsid w:val="00D4518E"/>
    <w:rsid w:val="00D55E49"/>
    <w:rsid w:val="00D56DC1"/>
    <w:rsid w:val="00D60203"/>
    <w:rsid w:val="00D64C81"/>
    <w:rsid w:val="00D70D8B"/>
    <w:rsid w:val="00D75C9C"/>
    <w:rsid w:val="00D87D94"/>
    <w:rsid w:val="00D94743"/>
    <w:rsid w:val="00DA3CB2"/>
    <w:rsid w:val="00DD4132"/>
    <w:rsid w:val="00DF00EA"/>
    <w:rsid w:val="00DF6F24"/>
    <w:rsid w:val="00E14F5F"/>
    <w:rsid w:val="00E22066"/>
    <w:rsid w:val="00E22F15"/>
    <w:rsid w:val="00E27D6C"/>
    <w:rsid w:val="00E433F3"/>
    <w:rsid w:val="00E434DE"/>
    <w:rsid w:val="00E465A0"/>
    <w:rsid w:val="00E50BFD"/>
    <w:rsid w:val="00E572B6"/>
    <w:rsid w:val="00E620A9"/>
    <w:rsid w:val="00E62D2D"/>
    <w:rsid w:val="00E6721F"/>
    <w:rsid w:val="00E800E7"/>
    <w:rsid w:val="00E8486C"/>
    <w:rsid w:val="00EA29FC"/>
    <w:rsid w:val="00EA51E7"/>
    <w:rsid w:val="00EA788B"/>
    <w:rsid w:val="00EB4BAE"/>
    <w:rsid w:val="00EC2F19"/>
    <w:rsid w:val="00ED14E1"/>
    <w:rsid w:val="00ED50C2"/>
    <w:rsid w:val="00EE0407"/>
    <w:rsid w:val="00EE4918"/>
    <w:rsid w:val="00EE6F55"/>
    <w:rsid w:val="00EF0DBC"/>
    <w:rsid w:val="00F2732E"/>
    <w:rsid w:val="00F316C4"/>
    <w:rsid w:val="00F40812"/>
    <w:rsid w:val="00F432B0"/>
    <w:rsid w:val="00F43A5D"/>
    <w:rsid w:val="00F53BB0"/>
    <w:rsid w:val="00F572A2"/>
    <w:rsid w:val="00F6089F"/>
    <w:rsid w:val="00F60B24"/>
    <w:rsid w:val="00F62FC5"/>
    <w:rsid w:val="00F75205"/>
    <w:rsid w:val="00F76358"/>
    <w:rsid w:val="00F77EE3"/>
    <w:rsid w:val="00F8723B"/>
    <w:rsid w:val="00FA1BF7"/>
    <w:rsid w:val="00FB2530"/>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B2C5"/>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4A28EF-20C7-49EB-877A-659E942B8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7</Pages>
  <Words>2283</Words>
  <Characters>12334</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19</cp:revision>
  <cp:lastPrinted>2025-03-10T18:29:00Z</cp:lastPrinted>
  <dcterms:created xsi:type="dcterms:W3CDTF">2024-05-08T13:09:00Z</dcterms:created>
  <dcterms:modified xsi:type="dcterms:W3CDTF">2025-03-27T17:47:00Z</dcterms:modified>
</cp:coreProperties>
</file>