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88B" w:rsidRPr="005C00CC" w:rsidRDefault="00EA788B" w:rsidP="00A129F0">
      <w:pPr>
        <w:ind w:left="0" w:hanging="2"/>
        <w:rPr>
          <w:rFonts w:eastAsia="Merriweather"/>
        </w:rPr>
      </w:pPr>
    </w:p>
    <w:p w:rsidR="004C2BF6" w:rsidRPr="00E80589" w:rsidRDefault="004C2BF6" w:rsidP="008C64C8">
      <w:pPr>
        <w:spacing w:after="57"/>
        <w:ind w:left="0" w:hanging="2"/>
        <w:jc w:val="center"/>
        <w:rPr>
          <w:b/>
          <w:sz w:val="22"/>
          <w:szCs w:val="22"/>
        </w:rPr>
      </w:pPr>
      <w:r w:rsidRPr="00E80589">
        <w:rPr>
          <w:b/>
          <w:sz w:val="22"/>
          <w:szCs w:val="22"/>
        </w:rPr>
        <w:t xml:space="preserve">MAPA DE RISCO </w:t>
      </w:r>
    </w:p>
    <w:p w:rsidR="004C2BF6" w:rsidRPr="00E80589" w:rsidRDefault="004C2BF6" w:rsidP="008C64C8">
      <w:pPr>
        <w:spacing w:after="57"/>
        <w:ind w:left="0" w:hanging="2"/>
        <w:jc w:val="center"/>
        <w:rPr>
          <w:b/>
          <w:sz w:val="22"/>
          <w:szCs w:val="22"/>
        </w:rPr>
      </w:pPr>
    </w:p>
    <w:p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rsidTr="008F6EBA">
        <w:tc>
          <w:tcPr>
            <w:tcW w:w="15446" w:type="dxa"/>
            <w:vAlign w:val="center"/>
          </w:tcPr>
          <w:p w:rsidR="004C2BF6" w:rsidRPr="00C7235A" w:rsidRDefault="004C2BF6" w:rsidP="008F6EBA">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9A57C6" w:rsidRPr="00C7235A">
              <w:rPr>
                <w:b/>
                <w:color w:val="000000" w:themeColor="text1"/>
                <w:sz w:val="22"/>
                <w:szCs w:val="22"/>
              </w:rPr>
              <w:t xml:space="preserve">Claudia </w:t>
            </w:r>
            <w:proofErr w:type="spellStart"/>
            <w:r w:rsidR="009A57C6" w:rsidRPr="00C7235A">
              <w:rPr>
                <w:b/>
                <w:color w:val="000000" w:themeColor="text1"/>
                <w:sz w:val="22"/>
                <w:szCs w:val="22"/>
              </w:rPr>
              <w:t>Janz</w:t>
            </w:r>
            <w:proofErr w:type="spellEnd"/>
            <w:r w:rsidR="009A57C6" w:rsidRPr="00C7235A">
              <w:rPr>
                <w:b/>
                <w:color w:val="000000" w:themeColor="text1"/>
                <w:sz w:val="22"/>
                <w:szCs w:val="22"/>
              </w:rPr>
              <w:t xml:space="preserve"> da Silva </w:t>
            </w:r>
          </w:p>
        </w:tc>
      </w:tr>
      <w:tr w:rsidR="004C2BF6" w:rsidRPr="00E80589" w:rsidTr="008F6EBA">
        <w:tc>
          <w:tcPr>
            <w:tcW w:w="15446" w:type="dxa"/>
            <w:vAlign w:val="center"/>
          </w:tcPr>
          <w:p w:rsidR="004C2BF6" w:rsidRPr="00075F1D" w:rsidRDefault="004C2BF6" w:rsidP="00891DC3">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4F0FF8">
              <w:rPr>
                <w:color w:val="000000" w:themeColor="text1"/>
                <w:sz w:val="22"/>
                <w:szCs w:val="22"/>
              </w:rPr>
              <w:t xml:space="preserve"> </w:t>
            </w:r>
            <w:r w:rsidR="00891DC3">
              <w:rPr>
                <w:color w:val="000000" w:themeColor="text1"/>
                <w:sz w:val="22"/>
                <w:szCs w:val="22"/>
              </w:rPr>
              <w:t xml:space="preserve">07 DE MARÇO </w:t>
            </w:r>
            <w:r w:rsidR="009F08C8">
              <w:rPr>
                <w:color w:val="000000" w:themeColor="text1"/>
                <w:sz w:val="22"/>
                <w:szCs w:val="22"/>
              </w:rPr>
              <w:t xml:space="preserve"> DE 2025</w:t>
            </w:r>
          </w:p>
        </w:tc>
      </w:tr>
      <w:tr w:rsidR="004C2BF6" w:rsidRPr="00E80589" w:rsidTr="008F6EBA">
        <w:tc>
          <w:tcPr>
            <w:tcW w:w="15446" w:type="dxa"/>
            <w:vAlign w:val="center"/>
          </w:tcPr>
          <w:p w:rsidR="009F08C8" w:rsidRPr="00D74F9F" w:rsidRDefault="004C2BF6" w:rsidP="009F08C8">
            <w:pPr>
              <w:pStyle w:val="PargrafodaLista"/>
              <w:numPr>
                <w:ilvl w:val="1"/>
                <w:numId w:val="19"/>
              </w:numPr>
              <w:tabs>
                <w:tab w:val="left" w:pos="0"/>
              </w:tabs>
              <w:spacing w:line="240" w:lineRule="auto"/>
              <w:ind w:leftChars="0" w:left="0" w:right="-426" w:firstLineChars="0" w:hanging="2"/>
              <w:jc w:val="both"/>
              <w:rPr>
                <w:rFonts w:eastAsia="Merriweather"/>
                <w:color w:val="000000" w:themeColor="text1"/>
                <w:sz w:val="22"/>
                <w:szCs w:val="22"/>
              </w:rPr>
            </w:pPr>
            <w:r w:rsidRPr="00C7235A">
              <w:rPr>
                <w:b/>
                <w:color w:val="000000" w:themeColor="text1"/>
                <w:sz w:val="22"/>
                <w:szCs w:val="22"/>
              </w:rPr>
              <w:t>Objeto da Matriz de Riscos</w:t>
            </w:r>
            <w:r w:rsidR="00B54C65">
              <w:rPr>
                <w:rFonts w:eastAsia="Merriweather"/>
                <w:b/>
                <w:color w:val="000000" w:themeColor="text1"/>
                <w:sz w:val="22"/>
                <w:szCs w:val="22"/>
              </w:rPr>
              <w:t xml:space="preserve"> </w:t>
            </w:r>
            <w:bookmarkStart w:id="0" w:name="_GoBack"/>
            <w:bookmarkEnd w:id="0"/>
            <w:r w:rsidR="00B54C65" w:rsidRPr="00D6123A">
              <w:rPr>
                <w:rFonts w:eastAsia="Merriweather"/>
                <w:b/>
                <w:color w:val="000000" w:themeColor="text1"/>
                <w:sz w:val="22"/>
                <w:szCs w:val="22"/>
              </w:rPr>
              <w:t xml:space="preserve">CONTRATAÇÃO DE </w:t>
            </w:r>
            <w:r w:rsidR="00B54C65">
              <w:rPr>
                <w:rFonts w:eastAsia="Merriweather"/>
                <w:b/>
                <w:color w:val="000000" w:themeColor="text1"/>
                <w:sz w:val="22"/>
                <w:szCs w:val="22"/>
              </w:rPr>
              <w:t>PESSOA JURIDICA PARA FORNECIMENTOS DE SERVIÇOS DE</w:t>
            </w:r>
            <w:r w:rsidR="00B54C65" w:rsidRPr="00D6123A">
              <w:rPr>
                <w:rFonts w:eastAsia="Merriweather"/>
                <w:b/>
                <w:color w:val="000000" w:themeColor="text1"/>
                <w:sz w:val="22"/>
                <w:szCs w:val="22"/>
              </w:rPr>
              <w:t xml:space="preserve"> RECAUCHUTAGEM /RECAPAGEM E VULCANIZAÇÃO DE PNEUS PARA FROTA DE VEICULOS PESADO DA </w:t>
            </w:r>
            <w:proofErr w:type="gramStart"/>
            <w:r w:rsidR="00B54C65" w:rsidRPr="00D6123A">
              <w:rPr>
                <w:rFonts w:eastAsia="Merriweather"/>
                <w:b/>
                <w:color w:val="000000" w:themeColor="text1"/>
                <w:sz w:val="22"/>
                <w:szCs w:val="22"/>
              </w:rPr>
              <w:t>FROTA  DO</w:t>
            </w:r>
            <w:proofErr w:type="gramEnd"/>
            <w:r w:rsidR="00B54C65" w:rsidRPr="00D6123A">
              <w:rPr>
                <w:rFonts w:eastAsia="Merriweather"/>
                <w:b/>
                <w:color w:val="000000" w:themeColor="text1"/>
                <w:sz w:val="22"/>
                <w:szCs w:val="22"/>
              </w:rPr>
              <w:t xml:space="preserve"> MUNICIPIO DE BANDEIRANTES-PR.</w:t>
            </w:r>
            <w:r w:rsidR="009F08C8">
              <w:rPr>
                <w:rFonts w:eastAsia="Merriweather"/>
                <w:b/>
                <w:color w:val="000000" w:themeColor="text1"/>
                <w:sz w:val="22"/>
                <w:szCs w:val="22"/>
              </w:rPr>
              <w:t>ANDEIRANTES-PR.</w:t>
            </w:r>
          </w:p>
          <w:p w:rsidR="004C2BF6" w:rsidRPr="008F6EBA" w:rsidRDefault="004C2BF6" w:rsidP="004F0FF8">
            <w:pPr>
              <w:spacing w:after="57" w:line="276" w:lineRule="auto"/>
              <w:ind w:leftChars="0" w:left="0" w:firstLineChars="0" w:firstLine="0"/>
              <w:jc w:val="both"/>
              <w:rPr>
                <w:color w:val="000000" w:themeColor="text1"/>
                <w:sz w:val="22"/>
                <w:szCs w:val="22"/>
              </w:rPr>
            </w:pPr>
          </w:p>
        </w:tc>
      </w:tr>
    </w:tbl>
    <w:p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F1234">
            <w:pPr>
              <w:ind w:left="0" w:hanging="2"/>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Adotar </w:t>
            </w:r>
            <w:proofErr w:type="spellStart"/>
            <w:r w:rsidRPr="004C2BF6">
              <w:rPr>
                <w:rFonts w:ascii="Calibri" w:hAnsi="Calibri"/>
                <w:color w:val="000000"/>
                <w:position w:val="0"/>
                <w:sz w:val="18"/>
                <w:szCs w:val="18"/>
              </w:rPr>
              <w:t>checklist</w:t>
            </w:r>
            <w:proofErr w:type="spellEnd"/>
            <w:r w:rsidRPr="004C2BF6">
              <w:rPr>
                <w:rFonts w:ascii="Calibri" w:hAnsi="Calibri"/>
                <w:color w:val="000000"/>
                <w:position w:val="0"/>
                <w:sz w:val="18"/>
                <w:szCs w:val="18"/>
              </w:rPr>
              <w:t xml:space="preserve">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Elaborar </w:t>
            </w:r>
            <w:proofErr w:type="spellStart"/>
            <w:r w:rsidRPr="008F6EBA">
              <w:rPr>
                <w:rFonts w:ascii="Calibri" w:hAnsi="Calibri"/>
                <w:color w:val="000000" w:themeColor="text1"/>
                <w:position w:val="0"/>
                <w:sz w:val="18"/>
                <w:szCs w:val="18"/>
              </w:rPr>
              <w:t>checklist</w:t>
            </w:r>
            <w:proofErr w:type="spellEnd"/>
            <w:r w:rsidRPr="008F6EBA">
              <w:rPr>
                <w:rFonts w:ascii="Calibri" w:hAnsi="Calibri"/>
                <w:color w:val="000000" w:themeColor="text1"/>
                <w:position w:val="0"/>
                <w:sz w:val="18"/>
                <w:szCs w:val="18"/>
              </w:rPr>
              <w:t xml:space="preserve">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Elaborar </w:t>
            </w:r>
            <w:proofErr w:type="spellStart"/>
            <w:r w:rsidRPr="008F6EBA">
              <w:rPr>
                <w:rFonts w:ascii="Calibri" w:hAnsi="Calibri"/>
                <w:color w:val="000000" w:themeColor="text1"/>
                <w:position w:val="0"/>
                <w:sz w:val="18"/>
                <w:szCs w:val="18"/>
              </w:rPr>
              <w:t>checklist</w:t>
            </w:r>
            <w:proofErr w:type="spellEnd"/>
            <w:r w:rsidRPr="008F6EBA">
              <w:rPr>
                <w:rFonts w:ascii="Calibri" w:hAnsi="Calibri"/>
                <w:color w:val="000000" w:themeColor="text1"/>
                <w:position w:val="0"/>
                <w:sz w:val="18"/>
                <w:szCs w:val="18"/>
              </w:rPr>
              <w:t xml:space="preserve">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Adoção de </w:t>
            </w:r>
            <w:proofErr w:type="spellStart"/>
            <w:r w:rsidRPr="004C2BF6">
              <w:rPr>
                <w:rFonts w:ascii="Calibri" w:hAnsi="Calibri"/>
                <w:color w:val="000000"/>
                <w:position w:val="0"/>
                <w:sz w:val="18"/>
                <w:szCs w:val="18"/>
              </w:rPr>
              <w:t>checklist</w:t>
            </w:r>
            <w:proofErr w:type="spellEnd"/>
            <w:r w:rsidRPr="004C2BF6">
              <w:rPr>
                <w:rFonts w:ascii="Calibri" w:hAnsi="Calibri"/>
                <w:color w:val="000000"/>
                <w:position w:val="0"/>
                <w:sz w:val="18"/>
                <w:szCs w:val="18"/>
              </w:rPr>
              <w:t xml:space="preserve">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Adoção de </w:t>
            </w:r>
            <w:proofErr w:type="spellStart"/>
            <w:r w:rsidRPr="004C2BF6">
              <w:rPr>
                <w:rFonts w:ascii="Calibri" w:hAnsi="Calibri"/>
                <w:color w:val="000000"/>
                <w:position w:val="0"/>
                <w:sz w:val="18"/>
                <w:szCs w:val="18"/>
              </w:rPr>
              <w:t>checklist</w:t>
            </w:r>
            <w:proofErr w:type="spellEnd"/>
            <w:r w:rsidRPr="004C2BF6">
              <w:rPr>
                <w:rFonts w:ascii="Calibri" w:hAnsi="Calibri"/>
                <w:color w:val="000000"/>
                <w:position w:val="0"/>
                <w:sz w:val="18"/>
                <w:szCs w:val="18"/>
              </w:rPr>
              <w:t xml:space="preserve">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Adoção de </w:t>
            </w:r>
            <w:proofErr w:type="spellStart"/>
            <w:r w:rsidRPr="004C2BF6">
              <w:rPr>
                <w:rFonts w:ascii="Calibri" w:hAnsi="Calibri"/>
                <w:color w:val="000000"/>
                <w:position w:val="0"/>
                <w:sz w:val="18"/>
                <w:szCs w:val="18"/>
              </w:rPr>
              <w:t>checklist</w:t>
            </w:r>
            <w:proofErr w:type="spellEnd"/>
            <w:r w:rsidRPr="004C2BF6">
              <w:rPr>
                <w:rFonts w:ascii="Calibri" w:hAnsi="Calibri"/>
                <w:color w:val="000000"/>
                <w:position w:val="0"/>
                <w:sz w:val="18"/>
                <w:szCs w:val="18"/>
              </w:rPr>
              <w:t xml:space="preserve">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rsidR="004C2BF6" w:rsidRDefault="004C2BF6" w:rsidP="001968B4">
      <w:pPr>
        <w:ind w:left="1" w:hanging="3"/>
        <w:jc w:val="center"/>
        <w:rPr>
          <w:rFonts w:eastAsia="Merriweather"/>
          <w:b/>
          <w:sz w:val="28"/>
          <w:szCs w:val="28"/>
        </w:rPr>
      </w:pPr>
    </w:p>
    <w:p w:rsidR="009A57C6" w:rsidRPr="004C2BF6" w:rsidRDefault="009A57C6" w:rsidP="004C2BF6">
      <w:pPr>
        <w:ind w:left="0" w:hanging="2"/>
        <w:jc w:val="center"/>
        <w:rPr>
          <w:rFonts w:ascii="Cambria Math" w:hAnsi="Cambria Math"/>
          <w:sz w:val="22"/>
          <w:szCs w:val="22"/>
        </w:rPr>
      </w:pPr>
    </w:p>
    <w:p w:rsidR="004C2BF6" w:rsidRPr="004C2BF6" w:rsidRDefault="004C2BF6" w:rsidP="004C2BF6">
      <w:pPr>
        <w:ind w:left="0" w:hanging="2"/>
        <w:jc w:val="center"/>
        <w:rPr>
          <w:rFonts w:ascii="Cambria Math" w:hAnsi="Cambria Math"/>
          <w:sz w:val="22"/>
          <w:szCs w:val="22"/>
        </w:rPr>
      </w:pPr>
    </w:p>
    <w:p w:rsidR="009531DB"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Pr>
          <w:rFonts w:eastAsia="SimSun"/>
          <w:kern w:val="3"/>
          <w:sz w:val="22"/>
          <w:szCs w:val="22"/>
          <w:lang w:eastAsia="zh-CN" w:bidi="hi-IN"/>
        </w:rPr>
        <w:t>a de Administração</w:t>
      </w:r>
    </w:p>
    <w:p w:rsidR="004C2BF6" w:rsidRPr="005C00CC" w:rsidRDefault="004C2BF6" w:rsidP="004C2BF6">
      <w:pPr>
        <w:ind w:left="0" w:hanging="2"/>
        <w:jc w:val="center"/>
        <w:rPr>
          <w:rFonts w:ascii="Cambria Math" w:hAnsi="Cambria Math"/>
          <w:sz w:val="20"/>
        </w:rPr>
      </w:pPr>
    </w:p>
    <w:sectPr w:rsidR="004C2BF6" w:rsidRPr="005C00CC" w:rsidSect="009F08C8">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E64" w:rsidRDefault="00134E64">
      <w:pPr>
        <w:spacing w:line="240" w:lineRule="auto"/>
        <w:ind w:left="0" w:hanging="2"/>
      </w:pPr>
      <w:r>
        <w:separator/>
      </w:r>
    </w:p>
  </w:endnote>
  <w:endnote w:type="continuationSeparator" w:id="0">
    <w:p w:rsidR="00134E64" w:rsidRDefault="00134E6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00000001" w:usb1="00000002"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E64" w:rsidRDefault="00134E64">
      <w:pPr>
        <w:spacing w:line="240" w:lineRule="auto"/>
        <w:ind w:left="0" w:hanging="2"/>
      </w:pPr>
      <w:r>
        <w:separator/>
      </w:r>
    </w:p>
  </w:footnote>
  <w:footnote w:type="continuationSeparator" w:id="0">
    <w:p w:rsidR="00134E64" w:rsidRDefault="00134E6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134E64">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B54C65" w:rsidRPr="00B54C65">
                                <w:rPr>
                                  <w:noProof/>
                                  <w:color w:val="FFFFFF" w:themeColor="background1"/>
                                </w:rPr>
                                <w:t>7</w:t>
                              </w:r>
                              <w:r>
                                <w:rPr>
                                  <w:color w:val="FFFFFF" w:themeColor="background1"/>
                                </w:rPr>
                                <w:fldChar w:fldCharType="end"/>
                              </w:r>
                            </w:p>
                            <w:p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B54C65" w:rsidRPr="00B54C65">
                          <w:rPr>
                            <w:noProof/>
                            <w:color w:val="FFFFFF" w:themeColor="background1"/>
                          </w:rPr>
                          <w:t>7</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3FC39C30" wp14:editId="4E4BA764">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1A8E4D00" wp14:editId="602CBF82">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16"/>
  </w:num>
  <w:num w:numId="4">
    <w:abstractNumId w:val="19"/>
  </w:num>
  <w:num w:numId="5">
    <w:abstractNumId w:val="6"/>
  </w:num>
  <w:num w:numId="6">
    <w:abstractNumId w:val="3"/>
  </w:num>
  <w:num w:numId="7">
    <w:abstractNumId w:val="1"/>
  </w:num>
  <w:num w:numId="8">
    <w:abstractNumId w:val="12"/>
  </w:num>
  <w:num w:numId="9">
    <w:abstractNumId w:val="7"/>
  </w:num>
  <w:num w:numId="10">
    <w:abstractNumId w:val="5"/>
  </w:num>
  <w:num w:numId="11">
    <w:abstractNumId w:val="14"/>
  </w:num>
  <w:num w:numId="12">
    <w:abstractNumId w:val="4"/>
  </w:num>
  <w:num w:numId="13">
    <w:abstractNumId w:val="18"/>
  </w:num>
  <w:num w:numId="14">
    <w:abstractNumId w:val="20"/>
  </w:num>
  <w:num w:numId="15">
    <w:abstractNumId w:val="2"/>
  </w:num>
  <w:num w:numId="16">
    <w:abstractNumId w:val="2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1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34E64"/>
    <w:rsid w:val="001421AF"/>
    <w:rsid w:val="001564FA"/>
    <w:rsid w:val="00171975"/>
    <w:rsid w:val="001968B4"/>
    <w:rsid w:val="001A15CF"/>
    <w:rsid w:val="001B3070"/>
    <w:rsid w:val="001B3C87"/>
    <w:rsid w:val="001B64F9"/>
    <w:rsid w:val="001D4D41"/>
    <w:rsid w:val="001E1A7D"/>
    <w:rsid w:val="001E3949"/>
    <w:rsid w:val="001F293A"/>
    <w:rsid w:val="001F39FA"/>
    <w:rsid w:val="0020427A"/>
    <w:rsid w:val="0020553D"/>
    <w:rsid w:val="00210DAB"/>
    <w:rsid w:val="002452FF"/>
    <w:rsid w:val="00254EFC"/>
    <w:rsid w:val="00262A67"/>
    <w:rsid w:val="00275B59"/>
    <w:rsid w:val="00275ECF"/>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682A"/>
    <w:rsid w:val="004D740D"/>
    <w:rsid w:val="004D788D"/>
    <w:rsid w:val="004E1583"/>
    <w:rsid w:val="004E248F"/>
    <w:rsid w:val="004E5268"/>
    <w:rsid w:val="004F0FF8"/>
    <w:rsid w:val="004F1234"/>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91DC3"/>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9F08C8"/>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54C65"/>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00EA"/>
    <w:rsid w:val="00DF6F24"/>
    <w:rsid w:val="00E14F5F"/>
    <w:rsid w:val="00E22066"/>
    <w:rsid w:val="00E22F15"/>
    <w:rsid w:val="00E27D6C"/>
    <w:rsid w:val="00E433F3"/>
    <w:rsid w:val="00E434DE"/>
    <w:rsid w:val="00E465A0"/>
    <w:rsid w:val="00E50BFD"/>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E11528-A484-45C9-88B3-CAA05129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2290</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7</cp:revision>
  <cp:lastPrinted>2025-03-14T19:42:00Z</cp:lastPrinted>
  <dcterms:created xsi:type="dcterms:W3CDTF">2024-05-08T13:09:00Z</dcterms:created>
  <dcterms:modified xsi:type="dcterms:W3CDTF">2025-03-14T19:42:00Z</dcterms:modified>
</cp:coreProperties>
</file>